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62" w:beforeLines="20" w:after="62" w:afterLines="20" w:line="400" w:lineRule="exact"/>
        <w:ind w:right="105" w:firstLine="708"/>
        <w:jc w:val="center"/>
        <w:rPr>
          <w:rFonts w:ascii="黑体" w:hAnsi="宋体" w:eastAsia="黑体"/>
          <w:sz w:val="32"/>
          <w:szCs w:val="32"/>
        </w:rPr>
      </w:pPr>
      <w:r>
        <w:rPr>
          <w:rFonts w:hint="eastAsia" w:ascii="黑体" w:hAnsi="宋体" w:eastAsia="黑体"/>
          <w:sz w:val="32"/>
          <w:szCs w:val="32"/>
        </w:rPr>
        <w:t>不动产估价委托合同</w:t>
      </w:r>
    </w:p>
    <w:p>
      <w:pPr>
        <w:spacing w:before="62" w:beforeLines="20" w:after="62" w:afterLines="20" w:line="400" w:lineRule="exact"/>
        <w:jc w:val="right"/>
        <w:rPr>
          <w:rFonts w:ascii="黑体" w:hAnsi="宋体" w:eastAsia="黑体"/>
          <w:szCs w:val="21"/>
        </w:rPr>
      </w:pPr>
      <w:r>
        <w:rPr>
          <w:rFonts w:hint="eastAsia" w:ascii="黑体" w:hAnsi="宋体" w:eastAsia="黑体"/>
          <w:szCs w:val="21"/>
        </w:rPr>
        <w:t>康正合字[202  ]    号</w:t>
      </w:r>
    </w:p>
    <w:p>
      <w:pPr>
        <w:tabs>
          <w:tab w:val="left" w:pos="7560"/>
        </w:tabs>
        <w:spacing w:before="62" w:beforeLines="20" w:after="62" w:afterLines="20" w:line="480" w:lineRule="auto"/>
        <w:ind w:firstLine="482" w:firstLineChars="200"/>
        <w:rPr>
          <w:rFonts w:hint="eastAsia" w:ascii="宋体" w:hAnsi="宋体"/>
          <w:b/>
          <w:bCs/>
          <w:sz w:val="24"/>
          <w:szCs w:val="24"/>
        </w:rPr>
      </w:pPr>
    </w:p>
    <w:p>
      <w:pPr>
        <w:tabs>
          <w:tab w:val="left" w:pos="7560"/>
        </w:tabs>
        <w:spacing w:before="62" w:beforeLines="20" w:after="62" w:afterLines="20" w:line="480" w:lineRule="auto"/>
        <w:ind w:firstLine="482" w:firstLineChars="200"/>
        <w:rPr>
          <w:rFonts w:ascii="宋体" w:hAnsi="宋体"/>
          <w:sz w:val="24"/>
          <w:szCs w:val="24"/>
          <w:u w:val="single"/>
        </w:rPr>
      </w:pPr>
      <w:r>
        <w:rPr>
          <w:rFonts w:hint="eastAsia" w:ascii="宋体" w:hAnsi="宋体"/>
          <w:b/>
          <w:bCs/>
          <w:sz w:val="24"/>
          <w:szCs w:val="24"/>
        </w:rPr>
        <w:t>甲方（委托方）</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b/>
          <w:bCs/>
          <w:sz w:val="24"/>
          <w:szCs w:val="24"/>
          <w:u w:val="single"/>
        </w:rPr>
        <w:t>贵阳新世界房地产有限公司</w:t>
      </w:r>
      <w:r>
        <w:rPr>
          <w:rFonts w:hint="eastAsia" w:ascii="宋体" w:hAnsi="宋体"/>
          <w:bCs/>
          <w:sz w:val="24"/>
          <w:szCs w:val="24"/>
          <w:u w:val="single"/>
        </w:rPr>
        <w:t xml:space="preserve">               </w:t>
      </w:r>
    </w:p>
    <w:p>
      <w:pPr>
        <w:spacing w:before="62" w:beforeLines="20" w:after="62" w:afterLines="20" w:line="480" w:lineRule="auto"/>
        <w:ind w:firstLine="482" w:firstLineChars="200"/>
        <w:rPr>
          <w:rFonts w:ascii="宋体" w:hAnsi="宋体"/>
          <w:b/>
          <w:bCs/>
          <w:sz w:val="24"/>
          <w:szCs w:val="24"/>
          <w:u w:val="single"/>
        </w:rPr>
      </w:pPr>
      <w:r>
        <w:rPr>
          <w:rFonts w:hint="eastAsia" w:ascii="宋体" w:hAnsi="宋体"/>
          <w:b/>
          <w:bCs/>
          <w:sz w:val="24"/>
          <w:szCs w:val="24"/>
        </w:rPr>
        <w:t>乙方（受托方）</w:t>
      </w:r>
      <w:r>
        <w:rPr>
          <w:rFonts w:hint="eastAsia" w:ascii="宋体" w:hAnsi="宋体"/>
          <w:sz w:val="24"/>
          <w:szCs w:val="24"/>
        </w:rPr>
        <w:t>：</w:t>
      </w:r>
      <w:r>
        <w:rPr>
          <w:rFonts w:hint="eastAsia" w:ascii="宋体" w:hAnsi="宋体"/>
          <w:sz w:val="24"/>
          <w:szCs w:val="24"/>
          <w:u w:val="single"/>
        </w:rPr>
        <w:t xml:space="preserve">  </w:t>
      </w:r>
      <w:r>
        <w:rPr>
          <w:rFonts w:hint="eastAsia" w:ascii="宋体" w:hAnsi="宋体"/>
          <w:b/>
          <w:sz w:val="24"/>
          <w:szCs w:val="24"/>
          <w:u w:val="single"/>
        </w:rPr>
        <w:t>北京</w:t>
      </w:r>
      <w:r>
        <w:rPr>
          <w:rFonts w:hint="eastAsia" w:ascii="宋体" w:hAnsi="宋体"/>
          <w:b/>
          <w:bCs/>
          <w:sz w:val="24"/>
          <w:szCs w:val="24"/>
          <w:u w:val="single"/>
        </w:rPr>
        <w:t xml:space="preserve">康正宏基房地产评估有限公司  </w:t>
      </w:r>
      <w:r>
        <w:rPr>
          <w:rFonts w:hint="eastAsia" w:ascii="宋体" w:hAnsi="宋体"/>
          <w:bCs/>
          <w:sz w:val="24"/>
          <w:szCs w:val="24"/>
          <w:u w:val="single"/>
        </w:rPr>
        <w:t xml:space="preserve">      </w:t>
      </w:r>
      <w:r>
        <w:rPr>
          <w:rFonts w:ascii="宋体" w:hAnsi="宋体"/>
          <w:bCs/>
          <w:sz w:val="24"/>
          <w:szCs w:val="24"/>
          <w:u w:val="single"/>
        </w:rPr>
        <w:t xml:space="preserve"> </w:t>
      </w:r>
    </w:p>
    <w:p>
      <w:pPr>
        <w:spacing w:line="400" w:lineRule="exact"/>
        <w:ind w:firstLine="480" w:firstLineChars="200"/>
        <w:rPr>
          <w:rFonts w:ascii="宋体" w:hAnsi="宋体"/>
          <w:sz w:val="24"/>
          <w:szCs w:val="24"/>
        </w:rPr>
      </w:pPr>
    </w:p>
    <w:p>
      <w:pPr>
        <w:spacing w:line="360" w:lineRule="auto"/>
        <w:ind w:firstLine="480" w:firstLineChars="200"/>
        <w:rPr>
          <w:rFonts w:ascii="宋体" w:hAnsi="宋体"/>
          <w:sz w:val="24"/>
          <w:szCs w:val="24"/>
        </w:rPr>
      </w:pPr>
      <w:r>
        <w:rPr>
          <w:rFonts w:hint="eastAsia" w:ascii="宋体" w:hAnsi="宋体"/>
          <w:sz w:val="24"/>
          <w:szCs w:val="24"/>
        </w:rPr>
        <w:t>依照《中华人民共和国合同法》、《中华人民共和国资产评估法》等法律、行政法规，经双方平等协商，特订立本合同，以资共同信守。</w:t>
      </w:r>
    </w:p>
    <w:p>
      <w:pPr>
        <w:spacing w:line="400" w:lineRule="exact"/>
        <w:ind w:firstLine="480" w:firstLineChars="200"/>
        <w:rPr>
          <w:rFonts w:ascii="宋体" w:hAnsi="宋体"/>
          <w:sz w:val="24"/>
          <w:szCs w:val="24"/>
          <w:u w:val="single"/>
        </w:rPr>
      </w:pPr>
    </w:p>
    <w:p>
      <w:pPr>
        <w:spacing w:after="62" w:afterLines="20" w:line="480" w:lineRule="auto"/>
        <w:ind w:firstLine="482" w:firstLineChars="200"/>
        <w:rPr>
          <w:rFonts w:ascii="宋体" w:hAnsi="宋体"/>
          <w:b/>
          <w:sz w:val="24"/>
          <w:szCs w:val="24"/>
        </w:rPr>
      </w:pPr>
      <w:r>
        <w:rPr>
          <w:rFonts w:hint="eastAsia" w:ascii="宋体" w:hAnsi="宋体"/>
          <w:b/>
          <w:sz w:val="24"/>
          <w:szCs w:val="24"/>
        </w:rPr>
        <w:t>一、委托估价项目名称：</w:t>
      </w:r>
      <w:r>
        <w:rPr>
          <w:rFonts w:hint="eastAsia" w:ascii="宋体" w:hAnsi="宋体"/>
          <w:b/>
          <w:sz w:val="24"/>
          <w:szCs w:val="24"/>
          <w:u w:val="single"/>
        </w:rPr>
        <w:t>贵州省贵阳市金阳新区金朱西路南侧（贵阳恒大新世界）（地号：G-2-14-15-2号）一宗办公（公寓）、商业、地下车库用地出让国有建设用地使用权抵押价格评估 。</w:t>
      </w:r>
    </w:p>
    <w:p>
      <w:pPr>
        <w:spacing w:before="62" w:beforeLines="20" w:after="62" w:afterLines="20" w:line="480" w:lineRule="auto"/>
        <w:ind w:firstLine="482" w:firstLineChars="200"/>
        <w:rPr>
          <w:rFonts w:ascii="宋体" w:hAnsi="宋体"/>
          <w:b/>
          <w:sz w:val="24"/>
          <w:szCs w:val="24"/>
          <w:u w:val="single"/>
        </w:rPr>
      </w:pPr>
      <w:r>
        <w:rPr>
          <w:rFonts w:hint="eastAsia" w:ascii="宋体" w:hAnsi="宋体"/>
          <w:b/>
          <w:sz w:val="24"/>
          <w:szCs w:val="24"/>
        </w:rPr>
        <w:t>二、估价目的</w:t>
      </w:r>
      <w:r>
        <w:rPr>
          <w:rFonts w:hint="eastAsia" w:ascii="宋体" w:hAnsi="宋体"/>
          <w:sz w:val="24"/>
          <w:szCs w:val="24"/>
        </w:rPr>
        <w:t>：</w:t>
      </w:r>
      <w:r>
        <w:rPr>
          <w:rFonts w:hint="eastAsia" w:ascii="宋体" w:hAnsi="宋体"/>
          <w:b/>
          <w:sz w:val="24"/>
          <w:szCs w:val="24"/>
          <w:u w:val="single"/>
        </w:rPr>
        <w:t xml:space="preserve">甲方在向金融机构（中诚信托有限责任公司）办理贷款手续过程中，特委托北京康正宏基房地产评估有限公司对估价对象进行评估。本次评估为确定标的物之抵押贷款额度提供参考依据而评估出让国有建设用地使用权抵押价格。 </w:t>
      </w:r>
    </w:p>
    <w:p>
      <w:pPr>
        <w:pStyle w:val="12"/>
        <w:spacing w:before="62" w:beforeLines="20" w:after="62" w:afterLines="20" w:line="480" w:lineRule="auto"/>
        <w:ind w:firstLine="482" w:firstLineChars="200"/>
        <w:rPr>
          <w:szCs w:val="24"/>
        </w:rPr>
      </w:pPr>
      <w:r>
        <w:rPr>
          <w:rFonts w:hint="eastAsia"/>
          <w:szCs w:val="24"/>
        </w:rPr>
        <w:t>三、估价对象和估价范围：</w:t>
      </w:r>
      <w:r>
        <w:rPr>
          <w:rFonts w:hint="eastAsia"/>
          <w:szCs w:val="24"/>
          <w:u w:val="single"/>
        </w:rPr>
        <w:t>贵州省贵阳市金阳新区金朱西路南侧（贵阳恒大新世界）（地号：G-2-14-15-2号）一宗办公（公寓）、商业、地下车库用地</w:t>
      </w:r>
      <w:r>
        <w:rPr>
          <w:rFonts w:hint="eastAsia"/>
          <w:b w:val="0"/>
          <w:szCs w:val="24"/>
          <w:u w:val="single"/>
        </w:rPr>
        <w:t xml:space="preserve"> </w:t>
      </w:r>
      <w:r>
        <w:rPr>
          <w:rFonts w:hint="eastAsia"/>
          <w:szCs w:val="24"/>
          <w:u w:val="single"/>
        </w:rPr>
        <w:t xml:space="preserve">（详见合同附件）。 </w:t>
      </w:r>
    </w:p>
    <w:p>
      <w:pPr>
        <w:spacing w:before="62" w:beforeLines="20" w:after="62" w:afterLines="20" w:line="480" w:lineRule="auto"/>
        <w:ind w:firstLine="482" w:firstLineChars="200"/>
        <w:rPr>
          <w:rFonts w:ascii="宋体" w:hAnsi="宋体"/>
          <w:sz w:val="24"/>
          <w:szCs w:val="24"/>
        </w:rPr>
      </w:pPr>
      <w:r>
        <w:rPr>
          <w:rFonts w:hint="eastAsia" w:ascii="宋体" w:hAnsi="宋体"/>
          <w:b/>
          <w:sz w:val="24"/>
          <w:szCs w:val="24"/>
        </w:rPr>
        <w:t>四、价值时点：</w:t>
      </w:r>
      <w:r>
        <w:rPr>
          <w:rFonts w:ascii="宋体" w:hAnsi="宋体"/>
          <w:b/>
          <w:sz w:val="24"/>
          <w:szCs w:val="24"/>
          <w:u w:val="single"/>
        </w:rPr>
        <w:t xml:space="preserve"> </w:t>
      </w:r>
      <w:r>
        <w:rPr>
          <w:rFonts w:hint="eastAsia" w:ascii="宋体" w:hAnsi="宋体"/>
          <w:b/>
          <w:sz w:val="24"/>
          <w:szCs w:val="24"/>
          <w:u w:val="single"/>
        </w:rPr>
        <w:t>2020</w:t>
      </w:r>
      <w:r>
        <w:rPr>
          <w:rFonts w:ascii="宋体" w:hAnsi="宋体"/>
          <w:b/>
          <w:sz w:val="24"/>
          <w:szCs w:val="24"/>
          <w:u w:val="single"/>
        </w:rPr>
        <w:t xml:space="preserve"> </w:t>
      </w:r>
      <w:r>
        <w:rPr>
          <w:rFonts w:hint="eastAsia" w:ascii="宋体" w:hAnsi="宋体"/>
          <w:b/>
          <w:sz w:val="24"/>
          <w:szCs w:val="24"/>
        </w:rPr>
        <w:t>年</w:t>
      </w:r>
      <w:r>
        <w:rPr>
          <w:rFonts w:hint="eastAsia" w:ascii="宋体" w:hAnsi="宋体"/>
          <w:b/>
          <w:sz w:val="24"/>
          <w:szCs w:val="24"/>
          <w:u w:val="single"/>
        </w:rPr>
        <w:t xml:space="preserve"> 2 </w:t>
      </w:r>
      <w:r>
        <w:rPr>
          <w:rFonts w:hint="eastAsia" w:ascii="宋体" w:hAnsi="宋体"/>
          <w:b/>
          <w:sz w:val="24"/>
          <w:szCs w:val="24"/>
        </w:rPr>
        <w:t>月</w:t>
      </w:r>
      <w:r>
        <w:rPr>
          <w:rFonts w:ascii="宋体" w:hAnsi="宋体"/>
          <w:b/>
          <w:sz w:val="24"/>
          <w:szCs w:val="24"/>
          <w:u w:val="single"/>
        </w:rPr>
        <w:t xml:space="preserve"> </w:t>
      </w:r>
      <w:r>
        <w:rPr>
          <w:rFonts w:hint="eastAsia" w:ascii="宋体" w:hAnsi="宋体"/>
          <w:b/>
          <w:sz w:val="24"/>
          <w:szCs w:val="24"/>
          <w:u w:val="single"/>
        </w:rPr>
        <w:t xml:space="preserve">10 </w:t>
      </w:r>
      <w:r>
        <w:rPr>
          <w:rFonts w:hint="eastAsia" w:ascii="宋体" w:hAnsi="宋体"/>
          <w:b/>
          <w:sz w:val="24"/>
          <w:szCs w:val="24"/>
        </w:rPr>
        <w:t>日</w:t>
      </w:r>
      <w:r>
        <w:rPr>
          <w:rFonts w:ascii="宋体" w:hAnsi="宋体"/>
          <w:b/>
          <w:sz w:val="24"/>
          <w:szCs w:val="24"/>
        </w:rPr>
        <w:t xml:space="preserve"> </w:t>
      </w:r>
    </w:p>
    <w:p>
      <w:pPr>
        <w:spacing w:before="62" w:beforeLines="20" w:after="62" w:afterLines="20" w:line="480" w:lineRule="auto"/>
        <w:ind w:firstLine="482" w:firstLineChars="200"/>
        <w:rPr>
          <w:rFonts w:ascii="宋体" w:hAnsi="宋体"/>
          <w:sz w:val="24"/>
          <w:szCs w:val="24"/>
        </w:rPr>
      </w:pPr>
      <w:r>
        <w:rPr>
          <w:rFonts w:hint="eastAsia" w:ascii="宋体" w:hAnsi="宋体"/>
          <w:b/>
          <w:sz w:val="24"/>
          <w:szCs w:val="24"/>
        </w:rPr>
        <w:t>五、价值类型：</w:t>
      </w:r>
      <w:r>
        <w:rPr>
          <w:rFonts w:hint="eastAsia" w:ascii="宋体" w:hAnsi="宋体"/>
          <w:b/>
          <w:sz w:val="24"/>
          <w:szCs w:val="24"/>
          <w:u w:val="single"/>
        </w:rPr>
        <w:t xml:space="preserve"> 抵押价值 </w:t>
      </w:r>
    </w:p>
    <w:p>
      <w:pPr>
        <w:spacing w:before="62" w:beforeLines="20" w:after="62" w:afterLines="20" w:line="400" w:lineRule="exact"/>
        <w:ind w:firstLine="482" w:firstLineChars="200"/>
        <w:rPr>
          <w:rFonts w:ascii="宋体" w:hAnsi="宋体"/>
          <w:b/>
          <w:sz w:val="24"/>
          <w:szCs w:val="24"/>
        </w:rPr>
      </w:pPr>
    </w:p>
    <w:p>
      <w:pPr>
        <w:spacing w:before="62" w:beforeLines="20" w:after="62" w:afterLines="20" w:line="400" w:lineRule="exact"/>
        <w:ind w:firstLine="482" w:firstLineChars="200"/>
        <w:rPr>
          <w:rFonts w:ascii="宋体" w:hAnsi="宋体"/>
          <w:sz w:val="24"/>
          <w:szCs w:val="24"/>
        </w:rPr>
      </w:pPr>
      <w:r>
        <w:rPr>
          <w:rFonts w:hint="eastAsia" w:ascii="宋体" w:hAnsi="宋体"/>
          <w:b/>
          <w:sz w:val="24"/>
          <w:szCs w:val="24"/>
        </w:rPr>
        <w:t>六、评估业务完成期限</w:t>
      </w:r>
    </w:p>
    <w:p>
      <w:pPr>
        <w:spacing w:before="62" w:beforeLines="20" w:after="62" w:afterLines="20" w:line="360" w:lineRule="auto"/>
        <w:ind w:firstLine="480" w:firstLineChars="200"/>
        <w:rPr>
          <w:rFonts w:ascii="宋体" w:hAnsi="宋体"/>
          <w:sz w:val="24"/>
          <w:szCs w:val="24"/>
        </w:rPr>
      </w:pPr>
      <w:r>
        <w:rPr>
          <w:rFonts w:hint="eastAsia" w:ascii="宋体" w:hAnsi="宋体"/>
          <w:sz w:val="24"/>
          <w:szCs w:val="24"/>
        </w:rPr>
        <w:t>根据不动产估价工作时间安排，甲方应先期准备或指定不动产权利人、此次经济行为相关方提供乙方估价所需的不动产权属证明及其他相关资料，并于</w:t>
      </w:r>
      <w:r>
        <w:rPr>
          <w:rFonts w:hint="eastAsia" w:ascii="宋体" w:hAnsi="宋体"/>
          <w:sz w:val="24"/>
          <w:szCs w:val="24"/>
          <w:u w:val="single"/>
        </w:rPr>
        <w:t>_/_</w:t>
      </w:r>
      <w:r>
        <w:rPr>
          <w:rFonts w:hint="eastAsia" w:ascii="宋体" w:hAnsi="宋体"/>
          <w:sz w:val="24"/>
          <w:szCs w:val="24"/>
        </w:rPr>
        <w:t>年</w:t>
      </w:r>
      <w:r>
        <w:rPr>
          <w:rFonts w:hint="eastAsia" w:ascii="宋体" w:hAnsi="宋体"/>
          <w:sz w:val="24"/>
          <w:szCs w:val="24"/>
          <w:u w:val="single"/>
        </w:rPr>
        <w:t>_/_</w:t>
      </w:r>
      <w:r>
        <w:rPr>
          <w:rFonts w:hint="eastAsia" w:ascii="宋体" w:hAnsi="宋体"/>
          <w:sz w:val="24"/>
          <w:szCs w:val="24"/>
        </w:rPr>
        <w:t>月</w:t>
      </w:r>
      <w:r>
        <w:rPr>
          <w:rFonts w:hint="eastAsia" w:ascii="宋体" w:hAnsi="宋体"/>
          <w:sz w:val="24"/>
          <w:szCs w:val="24"/>
          <w:u w:val="single"/>
        </w:rPr>
        <w:t>_/_</w:t>
      </w:r>
      <w:r>
        <w:rPr>
          <w:rFonts w:hint="eastAsia" w:ascii="宋体" w:hAnsi="宋体"/>
          <w:sz w:val="24"/>
          <w:szCs w:val="24"/>
        </w:rPr>
        <w:t>日以前将上述资料交给乙方。乙方收到上述应提供的全部资料后，组织评估专业人员在</w:t>
      </w:r>
      <w:r>
        <w:rPr>
          <w:rFonts w:hint="eastAsia" w:ascii="宋体" w:hAnsi="宋体" w:cs="宋体"/>
          <w:sz w:val="24"/>
          <w:szCs w:val="24"/>
        </w:rPr>
        <w:t>十个工作日内</w:t>
      </w:r>
      <w:r>
        <w:rPr>
          <w:rFonts w:hint="eastAsia" w:ascii="宋体" w:hAnsi="宋体"/>
          <w:sz w:val="24"/>
          <w:szCs w:val="24"/>
        </w:rPr>
        <w:t>完成甲方委托的评估工作，并向甲方提交《不动产估价报告书》。若甲方（含其指定不动产权利人、此次经济行为相关方）不能及时提供资料，乙方可以顺延提交报告的时间。</w:t>
      </w:r>
    </w:p>
    <w:p>
      <w:pPr>
        <w:tabs>
          <w:tab w:val="left" w:pos="720"/>
        </w:tabs>
        <w:spacing w:before="62" w:beforeLines="20" w:after="62" w:afterLines="20" w:line="400" w:lineRule="exact"/>
        <w:ind w:firstLine="482" w:firstLineChars="200"/>
        <w:rPr>
          <w:rFonts w:ascii="宋体" w:hAnsi="宋体"/>
          <w:b/>
          <w:sz w:val="24"/>
          <w:szCs w:val="24"/>
        </w:rPr>
      </w:pPr>
      <w:bookmarkStart w:id="0" w:name="_GoBack"/>
      <w:bookmarkEnd w:id="0"/>
    </w:p>
    <w:p>
      <w:pPr>
        <w:tabs>
          <w:tab w:val="left" w:pos="720"/>
        </w:tabs>
        <w:spacing w:before="62" w:beforeLines="20" w:after="62" w:afterLines="20" w:line="400" w:lineRule="exact"/>
        <w:ind w:firstLine="482" w:firstLineChars="200"/>
        <w:rPr>
          <w:rFonts w:ascii="宋体" w:hAnsi="宋体"/>
          <w:b/>
          <w:sz w:val="24"/>
          <w:szCs w:val="24"/>
        </w:rPr>
      </w:pPr>
      <w:r>
        <w:rPr>
          <w:rFonts w:hint="eastAsia" w:ascii="宋体" w:hAnsi="宋体"/>
          <w:b/>
          <w:sz w:val="24"/>
          <w:szCs w:val="24"/>
        </w:rPr>
        <w:t>七、评估服务费及支付方式</w:t>
      </w:r>
    </w:p>
    <w:p>
      <w:pPr>
        <w:tabs>
          <w:tab w:val="left" w:pos="720"/>
        </w:tabs>
        <w:spacing w:before="62" w:beforeLines="20" w:after="62" w:afterLines="20" w:line="360" w:lineRule="auto"/>
        <w:ind w:firstLine="480" w:firstLineChars="200"/>
        <w:rPr>
          <w:rFonts w:ascii="宋体" w:hAnsi="宋体"/>
          <w:bCs/>
          <w:sz w:val="24"/>
          <w:szCs w:val="24"/>
        </w:rPr>
      </w:pPr>
      <w:r>
        <w:rPr>
          <w:rFonts w:hint="eastAsia" w:ascii="宋体" w:hAnsi="宋体"/>
          <w:sz w:val="24"/>
          <w:szCs w:val="24"/>
        </w:rPr>
        <w:t>1.参考原国家计委、建设部发布的《国家计委、建设部关于房地产中介服务收费的通知》（计价格第971号）相关规定、此次评估的特定目的及本项目评估工作的繁简程度，甲乙双方协商本次估价服务费合计为人民币</w:t>
      </w:r>
      <w:r>
        <w:rPr>
          <w:rFonts w:hint="eastAsia" w:ascii="宋体" w:hAnsi="宋体"/>
          <w:sz w:val="24"/>
          <w:szCs w:val="24"/>
          <w:u w:val="single"/>
        </w:rPr>
        <w:t xml:space="preserve"> 7.4 </w:t>
      </w:r>
      <w:r>
        <w:rPr>
          <w:rFonts w:hint="eastAsia" w:ascii="宋体" w:hAnsi="宋体"/>
          <w:sz w:val="24"/>
          <w:szCs w:val="24"/>
        </w:rPr>
        <w:t>万</w:t>
      </w:r>
      <w:r>
        <w:rPr>
          <w:rFonts w:hint="eastAsia" w:ascii="宋体" w:hAnsi="宋体"/>
          <w:bCs/>
          <w:sz w:val="24"/>
          <w:szCs w:val="24"/>
        </w:rPr>
        <w:t>元（人民币柒万肆仟元整），本合同的服务费已含乙方因履行合同而应承担的全部税款（包括但不限于增值税、印花税、所得税等其他各项税款及附加税金或费用)及其他费用。</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 xml:space="preserve"> 2.支付方式：本合同经双方签章后</w:t>
      </w:r>
      <w:r>
        <w:rPr>
          <w:rFonts w:hint="eastAsia" w:ascii="宋体" w:hAnsi="宋体"/>
          <w:sz w:val="24"/>
          <w:szCs w:val="24"/>
          <w:u w:val="single"/>
        </w:rPr>
        <w:t xml:space="preserve"> / </w:t>
      </w:r>
      <w:r>
        <w:rPr>
          <w:rFonts w:hint="eastAsia" w:ascii="宋体" w:hAnsi="宋体"/>
          <w:sz w:val="24"/>
          <w:szCs w:val="24"/>
        </w:rPr>
        <w:t>日内，甲方即支付给乙方</w:t>
      </w:r>
      <w:r>
        <w:rPr>
          <w:rFonts w:hint="eastAsia" w:ascii="宋体" w:hAnsi="宋体"/>
          <w:sz w:val="24"/>
          <w:szCs w:val="24"/>
          <w:u w:val="single"/>
        </w:rPr>
        <w:t xml:space="preserve"> / </w:t>
      </w:r>
      <w:r>
        <w:rPr>
          <w:rFonts w:hint="eastAsia" w:ascii="宋体" w:hAnsi="宋体"/>
          <w:sz w:val="24"/>
          <w:szCs w:val="24"/>
        </w:rPr>
        <w:t>万元作为定金；</w:t>
      </w:r>
      <w:r>
        <w:rPr>
          <w:rFonts w:hint="eastAsia" w:ascii="宋体" w:hAnsi="宋体" w:cs="宋体"/>
          <w:sz w:val="24"/>
          <w:szCs w:val="24"/>
        </w:rPr>
        <w:t>乙方正式提交甲方认可的《不动产估价报告书》十日内，</w:t>
      </w:r>
      <w:r>
        <w:rPr>
          <w:rFonts w:hint="eastAsia" w:ascii="宋体" w:hAnsi="宋体"/>
          <w:sz w:val="24"/>
          <w:szCs w:val="24"/>
        </w:rPr>
        <w:t>甲方支付给乙方</w:t>
      </w:r>
      <w:r>
        <w:rPr>
          <w:rFonts w:hint="eastAsia" w:ascii="宋体" w:hAnsi="宋体"/>
          <w:sz w:val="24"/>
          <w:szCs w:val="24"/>
          <w:u w:val="single"/>
        </w:rPr>
        <w:t xml:space="preserve"> 7.4 </w:t>
      </w:r>
      <w:r>
        <w:rPr>
          <w:rFonts w:hint="eastAsia" w:ascii="宋体" w:hAnsi="宋体"/>
          <w:sz w:val="24"/>
          <w:szCs w:val="24"/>
        </w:rPr>
        <w:t>万元（</w:t>
      </w:r>
      <w:r>
        <w:rPr>
          <w:rFonts w:hint="eastAsia" w:ascii="宋体" w:hAnsi="宋体"/>
          <w:bCs/>
          <w:sz w:val="24"/>
          <w:szCs w:val="24"/>
        </w:rPr>
        <w:t>人民币柒万肆仟元整</w:t>
      </w:r>
      <w:r>
        <w:rPr>
          <w:rFonts w:hint="eastAsia" w:ascii="宋体" w:hAnsi="宋体"/>
          <w:sz w:val="24"/>
          <w:szCs w:val="24"/>
        </w:rPr>
        <w:t>）。乙方应在收款前提供等额的增值税专用发票，否则甲方有权拒绝付款且不承担任何违约责任。</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3.乙方账号如下：</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户    名：北京康正宏基房地产评估有限公司</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纳税人识别号：91110106722616974K</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开 户 行：交通银行北京中轴路支行</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开户账号：110060739012015026873</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行    号：交739</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地    址：北京市丰台区方庄芳城园一区16号楼2层2门配套公建01</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电    话：82253558</w:t>
      </w:r>
    </w:p>
    <w:p>
      <w:pPr>
        <w:tabs>
          <w:tab w:val="left" w:pos="720"/>
        </w:tabs>
        <w:spacing w:before="62" w:beforeLines="20" w:after="62" w:afterLines="20" w:line="400" w:lineRule="exact"/>
        <w:ind w:firstLine="482" w:firstLineChars="200"/>
        <w:rPr>
          <w:rFonts w:ascii="宋体" w:hAnsi="宋体"/>
          <w:b/>
          <w:sz w:val="24"/>
          <w:szCs w:val="24"/>
        </w:rPr>
      </w:pPr>
    </w:p>
    <w:p>
      <w:pPr>
        <w:tabs>
          <w:tab w:val="left" w:pos="720"/>
        </w:tabs>
        <w:spacing w:before="62" w:beforeLines="20" w:after="62" w:afterLines="20" w:line="400" w:lineRule="exact"/>
        <w:ind w:firstLine="482" w:firstLineChars="200"/>
        <w:rPr>
          <w:rFonts w:ascii="宋体" w:hAnsi="宋体"/>
          <w:b/>
          <w:sz w:val="24"/>
          <w:szCs w:val="24"/>
        </w:rPr>
      </w:pPr>
      <w:r>
        <w:rPr>
          <w:rFonts w:hint="eastAsia" w:ascii="宋体" w:hAnsi="宋体"/>
          <w:b/>
          <w:sz w:val="24"/>
          <w:szCs w:val="24"/>
        </w:rPr>
        <w:t>八、双方的权利与义务</w:t>
      </w:r>
    </w:p>
    <w:p>
      <w:pPr>
        <w:tabs>
          <w:tab w:val="left" w:pos="720"/>
        </w:tabs>
        <w:spacing w:before="62" w:beforeLines="20" w:after="62" w:afterLines="20" w:line="360" w:lineRule="auto"/>
        <w:ind w:firstLine="480" w:firstLineChars="200"/>
        <w:outlineLvl w:val="0"/>
        <w:rPr>
          <w:rFonts w:ascii="宋体" w:hAnsi="宋体"/>
          <w:sz w:val="24"/>
          <w:szCs w:val="24"/>
        </w:rPr>
      </w:pPr>
      <w:r>
        <w:rPr>
          <w:rFonts w:hint="eastAsia" w:ascii="宋体" w:hAnsi="宋体"/>
          <w:sz w:val="24"/>
          <w:szCs w:val="24"/>
        </w:rPr>
        <w:t>（一） 甲方</w:t>
      </w:r>
    </w:p>
    <w:p>
      <w:pPr>
        <w:tabs>
          <w:tab w:val="left" w:pos="720"/>
        </w:tabs>
        <w:spacing w:before="62" w:beforeLines="20" w:after="62" w:afterLines="20" w:line="360" w:lineRule="auto"/>
        <w:ind w:firstLine="480" w:firstLineChars="200"/>
        <w:outlineLvl w:val="0"/>
        <w:rPr>
          <w:rFonts w:ascii="宋体" w:hAnsi="宋体"/>
          <w:sz w:val="24"/>
          <w:szCs w:val="24"/>
        </w:rPr>
      </w:pPr>
      <w:r>
        <w:rPr>
          <w:rFonts w:hint="eastAsia" w:ascii="宋体" w:hAnsi="宋体"/>
          <w:sz w:val="24"/>
          <w:szCs w:val="24"/>
        </w:rPr>
        <w:t>1.甲方应当对其（包括其指定的不动产权利人、此次经济行为相关方）提供的权属证明、财务会计信息和其他资料的真实性、完整性和合法性负责，按合同约定及时提供。</w:t>
      </w:r>
    </w:p>
    <w:p>
      <w:pPr>
        <w:tabs>
          <w:tab w:val="left" w:pos="720"/>
        </w:tabs>
        <w:spacing w:before="62" w:beforeLines="20" w:after="62" w:afterLines="20" w:line="360" w:lineRule="auto"/>
        <w:ind w:firstLine="480" w:firstLineChars="200"/>
        <w:outlineLvl w:val="0"/>
        <w:rPr>
          <w:rFonts w:ascii="宋体" w:hAnsi="宋体"/>
          <w:sz w:val="24"/>
          <w:szCs w:val="24"/>
        </w:rPr>
      </w:pPr>
      <w:r>
        <w:rPr>
          <w:rFonts w:hint="eastAsia" w:ascii="宋体" w:hAnsi="宋体"/>
          <w:sz w:val="24"/>
          <w:szCs w:val="24"/>
        </w:rPr>
        <w:t>2.甲方（包括其指定的不动产权利人、此次经济行为相关方）有责任配合乙方到有关部门查阅、抄录有关估价对象的资料；在乙方现场勘查及权属文件资料核查和验证工作时，应指定专业人员配合、提供方便。</w:t>
      </w:r>
    </w:p>
    <w:p>
      <w:pPr>
        <w:tabs>
          <w:tab w:val="left" w:pos="720"/>
        </w:tabs>
        <w:spacing w:before="62" w:beforeLines="20" w:after="62" w:afterLines="20" w:line="360" w:lineRule="auto"/>
        <w:ind w:firstLine="480" w:firstLineChars="200"/>
        <w:outlineLvl w:val="0"/>
        <w:rPr>
          <w:rFonts w:ascii="宋体" w:hAnsi="宋体"/>
          <w:sz w:val="24"/>
          <w:szCs w:val="24"/>
        </w:rPr>
      </w:pPr>
      <w:r>
        <w:rPr>
          <w:rFonts w:hint="eastAsia" w:ascii="宋体" w:hAnsi="宋体"/>
          <w:sz w:val="24"/>
          <w:szCs w:val="24"/>
        </w:rPr>
        <w:t>3.甲方自接到乙方提交的《不动产估价报告书》之日起五个工作日内，如对估价结果产生异议，且理由正当，可书面向乙方提出复估或重估申请。</w:t>
      </w:r>
    </w:p>
    <w:p>
      <w:pPr>
        <w:tabs>
          <w:tab w:val="left" w:pos="720"/>
        </w:tabs>
        <w:spacing w:before="62" w:beforeLines="20" w:after="62" w:afterLines="20" w:line="360" w:lineRule="auto"/>
        <w:ind w:firstLine="480" w:firstLineChars="200"/>
        <w:outlineLvl w:val="0"/>
        <w:rPr>
          <w:rFonts w:hint="eastAsia" w:ascii="宋体" w:hAnsi="宋体"/>
          <w:sz w:val="24"/>
          <w:szCs w:val="24"/>
        </w:rPr>
      </w:pPr>
      <w:r>
        <w:rPr>
          <w:rFonts w:hint="eastAsia" w:ascii="宋体" w:hAnsi="宋体"/>
          <w:sz w:val="24"/>
          <w:szCs w:val="24"/>
        </w:rPr>
        <w:t>4．甲方不得要求乙方出具虚假评估报告或者有其他非法干预评估结果情形。</w:t>
      </w:r>
    </w:p>
    <w:p>
      <w:pPr>
        <w:tabs>
          <w:tab w:val="left" w:pos="720"/>
        </w:tabs>
        <w:spacing w:before="62" w:beforeLines="20" w:after="62" w:afterLines="20" w:line="360" w:lineRule="auto"/>
        <w:ind w:firstLine="480" w:firstLineChars="200"/>
        <w:outlineLvl w:val="0"/>
        <w:rPr>
          <w:rFonts w:ascii="宋体" w:hAnsi="宋体"/>
          <w:sz w:val="24"/>
          <w:szCs w:val="24"/>
        </w:rPr>
      </w:pPr>
      <w:r>
        <w:rPr>
          <w:rFonts w:hint="eastAsia" w:ascii="宋体" w:hAnsi="宋体"/>
          <w:sz w:val="24"/>
          <w:szCs w:val="24"/>
        </w:rPr>
        <w:t>5.</w:t>
      </w:r>
      <w:r>
        <w:rPr>
          <w:rFonts w:hint="eastAsia"/>
        </w:rPr>
        <w:t xml:space="preserve"> </w:t>
      </w:r>
      <w:r>
        <w:rPr>
          <w:rFonts w:hint="eastAsia" w:ascii="宋体" w:hAnsi="宋体"/>
          <w:sz w:val="24"/>
          <w:szCs w:val="24"/>
        </w:rPr>
        <w:t>甲方有义务正确、恰当地使用《不动产估价报告书》。</w:t>
      </w:r>
    </w:p>
    <w:p>
      <w:pPr>
        <w:tabs>
          <w:tab w:val="left" w:pos="720"/>
        </w:tabs>
        <w:spacing w:before="62" w:beforeLines="20" w:after="62" w:afterLines="20" w:line="360" w:lineRule="auto"/>
        <w:ind w:firstLine="480" w:firstLineChars="200"/>
        <w:outlineLvl w:val="0"/>
        <w:rPr>
          <w:rFonts w:ascii="宋体" w:hAnsi="宋体"/>
          <w:sz w:val="24"/>
          <w:szCs w:val="24"/>
        </w:rPr>
      </w:pPr>
      <w:r>
        <w:rPr>
          <w:rFonts w:hint="eastAsia" w:ascii="宋体" w:hAnsi="宋体"/>
          <w:sz w:val="24"/>
          <w:szCs w:val="24"/>
        </w:rPr>
        <w:t>（二） 乙方</w:t>
      </w:r>
      <w:r>
        <w:rPr>
          <w:rFonts w:hint="eastAsia" w:ascii="宋体" w:hAnsi="宋体"/>
          <w:sz w:val="24"/>
          <w:szCs w:val="24"/>
        </w:rPr>
        <w:tab/>
      </w:r>
    </w:p>
    <w:p>
      <w:pPr>
        <w:tabs>
          <w:tab w:val="left" w:pos="720"/>
        </w:tabs>
        <w:spacing w:before="62" w:beforeLines="20" w:after="62" w:afterLines="20" w:line="360" w:lineRule="auto"/>
        <w:ind w:firstLine="480" w:firstLineChars="200"/>
        <w:outlineLvl w:val="0"/>
        <w:rPr>
          <w:rFonts w:ascii="宋体" w:hAnsi="宋体"/>
          <w:sz w:val="24"/>
          <w:szCs w:val="24"/>
        </w:rPr>
      </w:pPr>
      <w:r>
        <w:rPr>
          <w:rFonts w:hint="eastAsia" w:ascii="宋体" w:hAnsi="宋体"/>
          <w:sz w:val="24"/>
          <w:szCs w:val="24"/>
        </w:rPr>
        <w:t>1.乙方有权要求甲方提供与估价对象相关的权属证明、财务会计信息和其他资料，以及为执行公允的评估程序所需的必要协助。</w:t>
      </w:r>
    </w:p>
    <w:p>
      <w:pPr>
        <w:tabs>
          <w:tab w:val="left" w:pos="720"/>
        </w:tabs>
        <w:spacing w:before="62" w:beforeLines="20" w:after="62" w:afterLines="20" w:line="360" w:lineRule="auto"/>
        <w:ind w:firstLine="480" w:firstLineChars="200"/>
        <w:outlineLvl w:val="0"/>
        <w:rPr>
          <w:rFonts w:ascii="宋体" w:hAnsi="宋体"/>
          <w:sz w:val="24"/>
          <w:szCs w:val="24"/>
        </w:rPr>
      </w:pPr>
      <w:r>
        <w:rPr>
          <w:rFonts w:hint="eastAsia" w:ascii="宋体" w:hAnsi="宋体"/>
          <w:sz w:val="24"/>
          <w:szCs w:val="24"/>
        </w:rPr>
        <w:t>2.乙方应独立、客观、公正从事估价业务；认真执行法律和行政法规，对出具《不动产报告书》承担相应的法律责任。</w:t>
      </w:r>
    </w:p>
    <w:p>
      <w:pPr>
        <w:tabs>
          <w:tab w:val="left" w:pos="720"/>
        </w:tabs>
        <w:spacing w:before="62" w:beforeLines="20" w:after="62" w:afterLines="20" w:line="360" w:lineRule="auto"/>
        <w:ind w:firstLine="480" w:firstLineChars="200"/>
        <w:outlineLvl w:val="0"/>
        <w:rPr>
          <w:rFonts w:ascii="宋体" w:hAnsi="宋体"/>
          <w:sz w:val="24"/>
          <w:szCs w:val="24"/>
        </w:rPr>
      </w:pPr>
      <w:r>
        <w:rPr>
          <w:rFonts w:hint="eastAsia" w:ascii="宋体" w:hAnsi="宋体"/>
          <w:sz w:val="24"/>
          <w:szCs w:val="24"/>
        </w:rPr>
        <w:t>3.乙方应对收到的甲方所提供的有关估价对象的资料妥善保管并负保密之责，非经甲方同意不得擅自公开或泄露给他人。</w:t>
      </w:r>
    </w:p>
    <w:p>
      <w:pPr>
        <w:tabs>
          <w:tab w:val="left" w:pos="720"/>
        </w:tabs>
        <w:spacing w:before="62" w:beforeLines="20" w:after="62" w:afterLines="20" w:line="360" w:lineRule="auto"/>
        <w:ind w:firstLine="480" w:firstLineChars="200"/>
        <w:outlineLvl w:val="0"/>
        <w:rPr>
          <w:rFonts w:ascii="宋体" w:hAnsi="宋体"/>
          <w:sz w:val="24"/>
          <w:szCs w:val="24"/>
        </w:rPr>
      </w:pPr>
      <w:r>
        <w:rPr>
          <w:rFonts w:hint="eastAsia" w:ascii="宋体" w:hAnsi="宋体"/>
          <w:sz w:val="24"/>
          <w:szCs w:val="24"/>
        </w:rPr>
        <w:t>4．如不适用，乙方应对甲方复估或重估书面申请后</w:t>
      </w:r>
      <w:r>
        <w:rPr>
          <w:rFonts w:hint="eastAsia" w:ascii="宋体" w:hAnsi="宋体" w:cs="宋体"/>
          <w:sz w:val="24"/>
          <w:szCs w:val="24"/>
        </w:rPr>
        <w:t>十个工作日内</w:t>
      </w:r>
      <w:r>
        <w:rPr>
          <w:rFonts w:hint="eastAsia" w:ascii="宋体" w:hAnsi="宋体"/>
          <w:sz w:val="24"/>
          <w:szCs w:val="24"/>
        </w:rPr>
        <w:t>完成估价对象的复估或重估报告书，交付甲方。</w:t>
      </w:r>
    </w:p>
    <w:p>
      <w:pPr>
        <w:pStyle w:val="4"/>
        <w:spacing w:before="62" w:beforeLines="20" w:after="62" w:afterLines="20"/>
        <w:ind w:firstLine="480" w:firstLineChars="200"/>
        <w:rPr>
          <w:rFonts w:ascii="宋体" w:hAnsi="宋体" w:eastAsia="宋体"/>
          <w:szCs w:val="24"/>
        </w:rPr>
      </w:pPr>
    </w:p>
    <w:p>
      <w:pPr>
        <w:tabs>
          <w:tab w:val="left" w:pos="720"/>
        </w:tabs>
        <w:spacing w:before="62" w:beforeLines="20" w:after="62" w:afterLines="20" w:line="400" w:lineRule="exact"/>
        <w:ind w:firstLine="482" w:firstLineChars="200"/>
        <w:rPr>
          <w:rFonts w:ascii="宋体" w:hAnsi="宋体"/>
          <w:sz w:val="24"/>
          <w:szCs w:val="24"/>
        </w:rPr>
      </w:pPr>
      <w:r>
        <w:rPr>
          <w:rFonts w:hint="eastAsia" w:ascii="宋体" w:hAnsi="宋体"/>
          <w:b/>
          <w:sz w:val="24"/>
          <w:szCs w:val="24"/>
        </w:rPr>
        <w:t>九、不动产估价报告书的使用者及使用范围</w:t>
      </w:r>
    </w:p>
    <w:p>
      <w:pPr>
        <w:tabs>
          <w:tab w:val="left" w:pos="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 xml:space="preserve">乙方履行本合同出具的《不动产估价报告书》的使用者为：甲方及法律法规规定的使用者。 </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《不动产估价报告书》仅供甲方及法律法规规定的使用者按本合同约定的估价目的使用，乙方对上述报告使用者不当使用《不动产估价报告书》所造成的后果不承担责任。</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如无法律法规规定，甲方未征得乙方事先书面同意，不得摘抄、引用或者披露《不动产估价报告书》的内容于任何公开媒体之上。</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如无法律法规规定，乙方未经甲方事先书面，不得将《不动产估价报告书》的内容向第三方提供或者公开。</w:t>
      </w:r>
    </w:p>
    <w:p>
      <w:pPr>
        <w:tabs>
          <w:tab w:val="left" w:pos="720"/>
        </w:tabs>
        <w:spacing w:before="62" w:beforeLines="20" w:after="62" w:afterLines="20" w:line="400" w:lineRule="exact"/>
        <w:ind w:firstLine="482" w:firstLineChars="200"/>
        <w:rPr>
          <w:rFonts w:ascii="宋体" w:hAnsi="宋体"/>
          <w:b/>
          <w:sz w:val="24"/>
          <w:szCs w:val="24"/>
        </w:rPr>
      </w:pPr>
    </w:p>
    <w:p>
      <w:pPr>
        <w:tabs>
          <w:tab w:val="left" w:pos="720"/>
        </w:tabs>
        <w:spacing w:before="62" w:beforeLines="20" w:after="62" w:afterLines="20" w:line="360" w:lineRule="auto"/>
        <w:ind w:firstLine="482" w:firstLineChars="200"/>
        <w:rPr>
          <w:rFonts w:ascii="宋体" w:hAnsi="宋体"/>
          <w:b/>
          <w:sz w:val="24"/>
          <w:szCs w:val="24"/>
        </w:rPr>
      </w:pPr>
      <w:r>
        <w:rPr>
          <w:rFonts w:hint="eastAsia" w:ascii="宋体" w:hAnsi="宋体"/>
          <w:b/>
          <w:sz w:val="24"/>
          <w:szCs w:val="24"/>
        </w:rPr>
        <w:t>十、违约责任</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一）甲、乙双方按照《中华人民共和国合同法》、《中华人民共和国资产评估法》的规定承担责任以及相应的违约责任。签约各方因不可抗力无法履行本合同的，根据不可抗力的影响，可以部分或者全部免除责任，法律另有规定的除外。</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（二）发生下列情形的，甲乙双方承担各自责任：</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1.甲方如未按上述条款规定的日期向乙方提供具备真实性、完整性和合法性要求的估价所必需资料，甲方应承担相应的法律责任，乙方可按甲方耽误的时间顺延《不动产估价报告书》的交付时间。</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2.甲方单方终止本合同，如乙方工作已经过半，甲方应向乙方支付全部估价服务费；乙方工作尚未过半，甲方应向乙方支付全部估价服务费的50%，或定金不予退还，上述两者之中取其高者。</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3.</w:t>
      </w:r>
      <w:r>
        <w:rPr>
          <w:rFonts w:hint="eastAsia" w:ascii="宋体" w:hAnsi="宋体"/>
          <w:sz w:val="24"/>
          <w:szCs w:val="24"/>
        </w:rPr>
        <w:t>如甲方逾期付款，逾期30个工作日内免违约金；时间超过双方约定的付款时间后30个工作日以外的，则从第31个工作日起，以逾期付款额为基数，按日以中国人民银行的一年期定期存款利率/365向乙方偿付延迟付款的违约金。</w:t>
      </w:r>
    </w:p>
    <w:p>
      <w:pPr>
        <w:tabs>
          <w:tab w:val="left" w:pos="720"/>
        </w:tabs>
        <w:spacing w:before="62" w:beforeLines="20" w:after="62" w:afterLines="20" w:line="360" w:lineRule="auto"/>
        <w:ind w:firstLine="480" w:firstLineChars="200"/>
        <w:rPr>
          <w:rFonts w:hint="eastAsia" w:ascii="宋体" w:hAnsi="宋体"/>
          <w:sz w:val="24"/>
          <w:szCs w:val="24"/>
        </w:rPr>
      </w:pPr>
      <w:r>
        <w:rPr>
          <w:rFonts w:hint="eastAsia" w:ascii="宋体" w:hAnsi="宋体"/>
          <w:sz w:val="24"/>
          <w:szCs w:val="24"/>
        </w:rPr>
        <w:t>4.乙方如无正当理由，逾期交付《不动产估价报告书》，每逾期一日，乙方向甲方支付估价服务费的万分之六作为违约金。</w:t>
      </w:r>
    </w:p>
    <w:p>
      <w:pPr>
        <w:tabs>
          <w:tab w:val="left" w:pos="720"/>
        </w:tabs>
        <w:spacing w:before="62" w:beforeLines="20" w:after="62" w:afterLines="20" w:line="360" w:lineRule="auto"/>
        <w:ind w:firstLine="480" w:firstLineChars="200"/>
        <w:rPr>
          <w:rFonts w:hint="eastAsia" w:ascii="宋体" w:hAnsi="宋体"/>
          <w:sz w:val="24"/>
          <w:szCs w:val="24"/>
        </w:rPr>
      </w:pPr>
    </w:p>
    <w:p>
      <w:pPr>
        <w:tabs>
          <w:tab w:val="left" w:pos="720"/>
        </w:tabs>
        <w:spacing w:before="62" w:beforeLines="20" w:after="62" w:afterLines="20" w:line="360" w:lineRule="auto"/>
        <w:ind w:firstLine="482" w:firstLineChars="200"/>
        <w:rPr>
          <w:rFonts w:ascii="宋体" w:hAnsi="宋体"/>
          <w:b/>
          <w:sz w:val="24"/>
          <w:szCs w:val="24"/>
        </w:rPr>
      </w:pPr>
      <w:r>
        <w:rPr>
          <w:rFonts w:hint="eastAsia" w:ascii="宋体" w:hAnsi="宋体"/>
          <w:b/>
          <w:sz w:val="24"/>
          <w:szCs w:val="24"/>
        </w:rPr>
        <w:t>十一、品牌保护条款</w:t>
      </w:r>
    </w:p>
    <w:p>
      <w:pPr>
        <w:pStyle w:val="3"/>
        <w:numPr>
          <w:ilvl w:val="0"/>
          <w:numId w:val="1"/>
        </w:numPr>
        <w:snapToGrid w:val="0"/>
        <w:spacing w:before="62" w:beforeLines="20" w:after="62" w:afterLines="20" w:line="360" w:lineRule="auto"/>
        <w:ind w:firstLine="480" w:firstLineChars="200"/>
        <w:jc w:val="both"/>
        <w:rPr>
          <w:rFonts w:hint="eastAsia" w:ascii="宋体" w:hAnsi="宋体" w:eastAsia="宋体"/>
          <w:sz w:val="24"/>
          <w:szCs w:val="24"/>
          <w:lang w:bidi="ar"/>
        </w:rPr>
      </w:pPr>
      <w:r>
        <w:rPr>
          <w:rFonts w:hint="eastAsia" w:ascii="宋体" w:hAnsi="宋体" w:eastAsia="宋体"/>
          <w:sz w:val="24"/>
          <w:szCs w:val="24"/>
          <w:lang w:bidi="ar"/>
        </w:rPr>
        <w:t>未经甲方书面同意，乙方不得擅自使用“恒大”、“恒大地产”“金碧”字样以及恒大及其关联公司、产业的名称、商标、商号、标识、标志对其公司的项目、产品进行宣传。且乙方不得有诋毁甲方的品牌形象、声誉等行为。</w:t>
      </w:r>
    </w:p>
    <w:p>
      <w:pPr>
        <w:pStyle w:val="3"/>
        <w:numPr>
          <w:ilvl w:val="0"/>
          <w:numId w:val="1"/>
        </w:numPr>
        <w:snapToGrid w:val="0"/>
        <w:spacing w:before="62" w:beforeLines="20" w:after="62" w:afterLines="20" w:line="360" w:lineRule="auto"/>
        <w:ind w:firstLine="480" w:firstLineChars="200"/>
        <w:jc w:val="both"/>
        <w:rPr>
          <w:rFonts w:hint="eastAsia" w:ascii="宋体" w:hAnsi="宋体" w:eastAsia="宋体"/>
          <w:sz w:val="24"/>
          <w:szCs w:val="24"/>
          <w:lang w:bidi="ar"/>
        </w:rPr>
      </w:pPr>
      <w:r>
        <w:rPr>
          <w:rFonts w:hint="eastAsia" w:ascii="宋体" w:hAnsi="宋体" w:eastAsia="宋体"/>
          <w:sz w:val="24"/>
          <w:szCs w:val="24"/>
          <w:lang w:bidi="ar"/>
        </w:rPr>
        <w:t>未经甲方书面同意，乙方不得将签订、履行本协议所知晓的与甲方或本项目相关的信息、资料以及与甲方合作事宜向本协议以外的任何第三方（包括但不限于乙方合作单位、媒体等）披露、泄露。不得将双方之间的合作事宜、合作关系用于其对外宣传和广告用途。</w:t>
      </w:r>
    </w:p>
    <w:p>
      <w:pPr>
        <w:pStyle w:val="3"/>
        <w:numPr>
          <w:ilvl w:val="0"/>
          <w:numId w:val="1"/>
        </w:numPr>
        <w:snapToGrid w:val="0"/>
        <w:spacing w:before="62" w:beforeLines="20" w:after="62" w:afterLines="20" w:line="360" w:lineRule="auto"/>
        <w:ind w:firstLine="480" w:firstLineChars="200"/>
        <w:jc w:val="both"/>
        <w:rPr>
          <w:rFonts w:hint="eastAsia" w:ascii="宋体" w:hAnsi="宋体" w:eastAsia="宋体"/>
          <w:sz w:val="24"/>
          <w:szCs w:val="24"/>
        </w:rPr>
      </w:pPr>
      <w:r>
        <w:rPr>
          <w:rFonts w:hint="eastAsia" w:ascii="宋体" w:hAnsi="宋体" w:eastAsia="宋体"/>
          <w:sz w:val="24"/>
          <w:szCs w:val="24"/>
          <w:lang w:bidi="ar"/>
        </w:rPr>
        <w:t>上述1、2条及本条的约定在本协议期满、解除或终止后仍然有效。如乙方违反上述约定，乙方需向甲方支付合同总价10%的违约金；如导致甲方品牌形象受损的，乙方需向甲方支付合同总价30%的违约金，该违约金不足以弥补甲方损失的，乙方应当赔偿甲方的全部损失。</w:t>
      </w:r>
    </w:p>
    <w:p>
      <w:pPr>
        <w:tabs>
          <w:tab w:val="left" w:pos="720"/>
        </w:tabs>
        <w:spacing w:before="62" w:beforeLines="20" w:after="62" w:afterLines="20" w:line="360" w:lineRule="auto"/>
        <w:ind w:firstLine="482" w:firstLineChars="200"/>
        <w:rPr>
          <w:rFonts w:ascii="宋体" w:hAnsi="宋体"/>
          <w:b/>
          <w:sz w:val="24"/>
          <w:szCs w:val="24"/>
        </w:rPr>
      </w:pPr>
      <w:r>
        <w:rPr>
          <w:rFonts w:hint="eastAsia" w:ascii="宋体" w:hAnsi="宋体"/>
          <w:b/>
          <w:sz w:val="24"/>
          <w:szCs w:val="24"/>
        </w:rPr>
        <w:t>十二、调税条款</w:t>
      </w:r>
    </w:p>
    <w:p>
      <w:pPr>
        <w:pStyle w:val="3"/>
        <w:snapToGrid w:val="0"/>
        <w:spacing w:before="62" w:beforeLines="20" w:after="62" w:afterLines="20" w:line="360" w:lineRule="auto"/>
        <w:ind w:firstLine="480" w:firstLineChars="200"/>
        <w:jc w:val="both"/>
        <w:rPr>
          <w:rFonts w:hint="eastAsia" w:ascii="宋体" w:hAnsi="宋体" w:eastAsia="宋体"/>
          <w:sz w:val="24"/>
          <w:szCs w:val="24"/>
          <w:lang w:bidi="ar"/>
        </w:rPr>
      </w:pPr>
      <w:r>
        <w:rPr>
          <w:rFonts w:hint="eastAsia" w:ascii="宋体" w:hAnsi="宋体" w:eastAsia="宋体"/>
          <w:sz w:val="24"/>
          <w:szCs w:val="24"/>
          <w:lang w:bidi="ar"/>
        </w:rPr>
        <w:t>在合同履行过程中，如国家发布新政策调整税率的，在新政策生效日前已经付款的合同金额，应当按照政策调整前税率开具发票，如无法按照调整前税率开具发票的，受票方有权在后期应付合同款项中扣除税率调整前后的差额金额或由开票方向受票方补齐差额金额。国家新政策生效之日后的应付合同款项未开具发票且无法按照原税率开具发票的，应当按照新政策确定的税率开具发票及计算剩余应付款项金额；如本合同涉及含税价的，则税率调整后的含税单价（或剩余总价）=税率调整前合同含税单价（或剩余总价）/（1+调整前税率）*（1+调整后税率）</w:t>
      </w:r>
    </w:p>
    <w:p>
      <w:pPr>
        <w:tabs>
          <w:tab w:val="left" w:pos="720"/>
        </w:tabs>
        <w:spacing w:before="62" w:beforeLines="20" w:after="62" w:afterLines="20" w:line="360" w:lineRule="auto"/>
        <w:ind w:firstLine="482" w:firstLineChars="200"/>
        <w:rPr>
          <w:rFonts w:ascii="宋体" w:hAnsi="宋体"/>
          <w:b/>
          <w:sz w:val="24"/>
          <w:szCs w:val="24"/>
        </w:rPr>
      </w:pPr>
    </w:p>
    <w:p>
      <w:pPr>
        <w:tabs>
          <w:tab w:val="left" w:pos="720"/>
        </w:tabs>
        <w:spacing w:before="62" w:beforeLines="20" w:after="62" w:afterLines="20" w:line="360" w:lineRule="auto"/>
        <w:ind w:firstLine="482" w:firstLineChars="200"/>
        <w:rPr>
          <w:rFonts w:ascii="宋体" w:hAnsi="宋体"/>
          <w:b/>
          <w:sz w:val="24"/>
          <w:szCs w:val="24"/>
        </w:rPr>
      </w:pPr>
      <w:r>
        <w:rPr>
          <w:rFonts w:hint="eastAsia" w:ascii="宋体" w:hAnsi="宋体"/>
          <w:b/>
          <w:sz w:val="24"/>
          <w:szCs w:val="24"/>
        </w:rPr>
        <w:t>十三、廉洁条款</w:t>
      </w:r>
    </w:p>
    <w:p>
      <w:pPr>
        <w:pStyle w:val="3"/>
        <w:snapToGrid w:val="0"/>
        <w:spacing w:before="62" w:beforeLines="20" w:after="62" w:afterLines="20" w:line="360" w:lineRule="auto"/>
        <w:ind w:firstLine="480" w:firstLineChars="200"/>
        <w:jc w:val="both"/>
        <w:rPr>
          <w:rFonts w:hint="eastAsia" w:ascii="宋体" w:hAnsi="宋体" w:eastAsia="宋体"/>
          <w:sz w:val="24"/>
          <w:szCs w:val="24"/>
          <w:lang w:bidi="ar"/>
        </w:rPr>
      </w:pPr>
      <w:r>
        <w:rPr>
          <w:rFonts w:hint="eastAsia" w:ascii="宋体" w:hAnsi="宋体" w:eastAsia="宋体"/>
          <w:sz w:val="24"/>
          <w:szCs w:val="24"/>
          <w:lang w:bidi="ar"/>
        </w:rPr>
        <w:t>1、严禁甲方人员以任何方式明、暗示乙方请吃、请喝、收受乙方礼金、礼品或接受乙方提供的其他私人便利或利益。在合同签订或履行过程中，若甲方人员有明示或暗示要求宴请、招待，或索取礼金、礼品、礼券、其他利益等不当行为的，乙方应向甲方监察部门举报。具体举报渠道如下：</w:t>
      </w:r>
      <w:r>
        <w:rPr>
          <w:rFonts w:hint="eastAsia" w:ascii="宋体" w:hAnsi="宋体" w:eastAsia="宋体"/>
          <w:sz w:val="24"/>
          <w:szCs w:val="24"/>
          <w:lang w:bidi="ar"/>
        </w:rPr>
        <w:br w:type="textWrapping"/>
      </w:r>
      <w:r>
        <w:rPr>
          <w:rFonts w:hint="eastAsia" w:ascii="宋体" w:hAnsi="宋体" w:eastAsia="宋体"/>
          <w:sz w:val="24"/>
          <w:szCs w:val="24"/>
          <w:lang w:bidi="ar"/>
        </w:rPr>
        <w:t>举 报 电 话： 13058187453（微信同号）</w:t>
      </w:r>
      <w:r>
        <w:rPr>
          <w:rFonts w:hint="eastAsia" w:ascii="宋体" w:hAnsi="宋体" w:eastAsia="宋体"/>
          <w:sz w:val="24"/>
          <w:szCs w:val="24"/>
          <w:lang w:bidi="ar"/>
        </w:rPr>
        <w:br w:type="textWrapping"/>
      </w:r>
      <w:r>
        <w:rPr>
          <w:rFonts w:hint="eastAsia" w:ascii="宋体" w:hAnsi="宋体" w:eastAsia="宋体"/>
          <w:sz w:val="24"/>
          <w:szCs w:val="24"/>
          <w:lang w:bidi="ar"/>
        </w:rPr>
        <w:t>举 报 邮 箱： HDDC110＠evergrande.com</w:t>
      </w:r>
      <w:r>
        <w:rPr>
          <w:rFonts w:hint="eastAsia" w:ascii="宋体" w:hAnsi="宋体" w:eastAsia="宋体"/>
          <w:sz w:val="24"/>
          <w:szCs w:val="24"/>
          <w:lang w:bidi="ar"/>
        </w:rPr>
        <w:br w:type="textWrapping"/>
      </w:r>
      <w:r>
        <w:rPr>
          <w:rFonts w:hint="eastAsia" w:ascii="宋体" w:hAnsi="宋体" w:eastAsia="宋体"/>
          <w:sz w:val="24"/>
          <w:szCs w:val="24"/>
          <w:lang w:bidi="ar"/>
        </w:rPr>
        <w:t>受 理 部 门： 恒大地产集团监察中心</w:t>
      </w:r>
      <w:r>
        <w:rPr>
          <w:rFonts w:hint="eastAsia" w:ascii="宋体" w:hAnsi="宋体" w:eastAsia="宋体"/>
          <w:sz w:val="24"/>
          <w:szCs w:val="24"/>
          <w:lang w:bidi="ar"/>
        </w:rPr>
        <w:br w:type="textWrapping"/>
      </w:r>
      <w:r>
        <w:rPr>
          <w:rFonts w:hint="eastAsia" w:ascii="宋体" w:hAnsi="宋体" w:eastAsia="宋体"/>
          <w:sz w:val="24"/>
          <w:szCs w:val="24"/>
          <w:lang w:bidi="ar"/>
        </w:rPr>
        <w:t>受 理 地 址： 深圳市南山区海德三道1126号卓越后海金融中心27层</w:t>
      </w:r>
    </w:p>
    <w:p>
      <w:pPr>
        <w:pStyle w:val="3"/>
        <w:snapToGrid w:val="0"/>
        <w:spacing w:before="62" w:beforeLines="20" w:after="62" w:afterLines="20" w:line="360" w:lineRule="auto"/>
        <w:ind w:firstLine="480" w:firstLineChars="200"/>
        <w:jc w:val="both"/>
        <w:rPr>
          <w:rFonts w:hint="eastAsia" w:ascii="宋体" w:hAnsi="宋体" w:eastAsia="宋体"/>
          <w:sz w:val="24"/>
          <w:szCs w:val="24"/>
          <w:lang w:bidi="ar"/>
        </w:rPr>
      </w:pPr>
      <w:r>
        <w:rPr>
          <w:rFonts w:hint="eastAsia" w:ascii="宋体" w:hAnsi="宋体" w:eastAsia="宋体"/>
          <w:sz w:val="24"/>
          <w:szCs w:val="24"/>
          <w:lang w:bidi="ar"/>
        </w:rPr>
        <w:t>2、严禁乙方以任何方式向甲方人员提供私人便利、行贿或进行非正常商务宴请。</w:t>
      </w:r>
    </w:p>
    <w:p>
      <w:pPr>
        <w:pStyle w:val="3"/>
        <w:snapToGrid w:val="0"/>
        <w:spacing w:before="62" w:beforeLines="20" w:after="62" w:afterLines="20" w:line="360" w:lineRule="auto"/>
        <w:ind w:firstLine="480" w:firstLineChars="200"/>
        <w:jc w:val="both"/>
        <w:rPr>
          <w:rFonts w:hint="eastAsia" w:ascii="宋体" w:hAnsi="宋体" w:eastAsia="宋体"/>
          <w:sz w:val="24"/>
          <w:szCs w:val="24"/>
          <w:lang w:bidi="ar"/>
        </w:rPr>
      </w:pPr>
      <w:r>
        <w:rPr>
          <w:rFonts w:hint="eastAsia" w:ascii="宋体" w:hAnsi="宋体" w:eastAsia="宋体"/>
          <w:sz w:val="24"/>
          <w:szCs w:val="24"/>
          <w:lang w:bidi="ar"/>
        </w:rPr>
        <w:t>3、如果出现乙方在履约过程进行私下请吃、向甲方人员提供私人便利、行贿等一切非正常的经济活动，一经查实，甲方有权单方终止协议，因解除相关协议给甲方造成损失的，由乙方承担赔偿责任；同时，乙方如有违约，仍需承担违约责任。乙方的上述行为严重的，甲方保留追究法律责任的权利；如果乙方事后主动积极向甲方陈述事实，或乙方有证据显示以上行为为甲方人员施压的不得已行为，则乙方仍保留与上述行为相关的协议的权利和义务。</w:t>
      </w:r>
    </w:p>
    <w:p>
      <w:pPr>
        <w:pStyle w:val="3"/>
        <w:snapToGrid w:val="0"/>
        <w:spacing w:before="62" w:beforeLines="20" w:after="62" w:afterLines="20" w:line="360" w:lineRule="auto"/>
        <w:ind w:firstLine="480" w:firstLineChars="200"/>
        <w:jc w:val="both"/>
        <w:rPr>
          <w:rFonts w:hint="eastAsia" w:ascii="宋体" w:hAnsi="宋体" w:eastAsia="宋体"/>
          <w:sz w:val="24"/>
          <w:szCs w:val="24"/>
          <w:lang w:bidi="ar"/>
        </w:rPr>
      </w:pPr>
    </w:p>
    <w:p>
      <w:pPr>
        <w:tabs>
          <w:tab w:val="left" w:pos="720"/>
        </w:tabs>
        <w:spacing w:before="62" w:beforeLines="20" w:after="62" w:afterLines="20" w:line="360" w:lineRule="auto"/>
        <w:ind w:firstLine="482" w:firstLineChars="200"/>
        <w:rPr>
          <w:rFonts w:ascii="宋体" w:hAnsi="宋体"/>
          <w:b/>
          <w:sz w:val="24"/>
          <w:szCs w:val="24"/>
        </w:rPr>
      </w:pPr>
      <w:r>
        <w:rPr>
          <w:rFonts w:hint="eastAsia" w:ascii="宋体" w:hAnsi="宋体"/>
          <w:b/>
          <w:sz w:val="24"/>
          <w:szCs w:val="24"/>
        </w:rPr>
        <w:t>十四、保密条款</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本合同内容以及合同履行过程中的任何信息，甲乙双方及双方参与的人员应严格保密；未经对方书面同意，不得向任何第三方透露，法律法规要求披露的除外。</w:t>
      </w:r>
    </w:p>
    <w:p>
      <w:pPr>
        <w:tabs>
          <w:tab w:val="left" w:pos="720"/>
        </w:tabs>
        <w:spacing w:before="62" w:beforeLines="20" w:after="62" w:afterLines="20" w:line="360" w:lineRule="auto"/>
        <w:ind w:firstLine="482" w:firstLineChars="200"/>
        <w:rPr>
          <w:rFonts w:ascii="宋体" w:hAnsi="宋体"/>
          <w:b/>
          <w:sz w:val="24"/>
          <w:szCs w:val="24"/>
        </w:rPr>
      </w:pPr>
    </w:p>
    <w:p>
      <w:pPr>
        <w:tabs>
          <w:tab w:val="left" w:pos="720"/>
        </w:tabs>
        <w:spacing w:before="62" w:beforeLines="20" w:after="62" w:afterLines="20" w:line="360" w:lineRule="auto"/>
        <w:ind w:firstLine="482" w:firstLineChars="200"/>
        <w:rPr>
          <w:rFonts w:ascii="宋体" w:hAnsi="宋体"/>
          <w:b/>
          <w:sz w:val="24"/>
          <w:szCs w:val="24"/>
        </w:rPr>
      </w:pPr>
      <w:r>
        <w:rPr>
          <w:rFonts w:hint="eastAsia" w:ascii="宋体" w:hAnsi="宋体"/>
          <w:b/>
          <w:sz w:val="24"/>
          <w:szCs w:val="24"/>
        </w:rPr>
        <w:t>十五、合同的变更、中止、解除</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本合同履行过程中，如发生《中华人民共和国合同法》、《中华人民共和国资产评估法》中允许变更或解除合同的情况，双方应依法或依约定变更或解除合同。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甲、乙双方发现相关事项约定不明确，或者履行估价程序受到限制需要增加、调整约定事项的，可以协商对合同相关条款进行变更，并签订补充合同或者重新签订合同。补充合同或者新的合同</w:t>
      </w:r>
      <w:r>
        <w:rPr>
          <w:rFonts w:ascii="宋体" w:hAnsi="宋体" w:eastAsia="宋体"/>
          <w:sz w:val="24"/>
          <w:szCs w:val="24"/>
        </w:rPr>
        <w:t>未达成前，</w:t>
      </w:r>
      <w:r>
        <w:rPr>
          <w:rFonts w:hint="eastAsia" w:ascii="宋体" w:hAnsi="宋体" w:eastAsia="宋体"/>
          <w:sz w:val="24"/>
          <w:szCs w:val="24"/>
        </w:rPr>
        <w:t>本合同</w:t>
      </w:r>
      <w:r>
        <w:rPr>
          <w:rFonts w:ascii="宋体" w:hAnsi="宋体" w:eastAsia="宋体"/>
          <w:sz w:val="24"/>
          <w:szCs w:val="24"/>
        </w:rPr>
        <w:t>仍然有效</w:t>
      </w:r>
      <w:r>
        <w:rPr>
          <w:rFonts w:hint="eastAsia" w:ascii="宋体" w:hAnsi="宋体" w:eastAsia="宋体"/>
          <w:sz w:val="24"/>
          <w:szCs w:val="24"/>
        </w:rPr>
        <w:t xml:space="preserve">。   </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本合同签订后，估价目的、估价对象、价值时点发生变化，或者估价范围发生重大变化，甲、乙双方应签订补充合同或者重新签订合同。</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hint="eastAsia" w:ascii="宋体" w:hAnsi="宋体" w:eastAsia="宋体"/>
          <w:sz w:val="24"/>
          <w:szCs w:val="24"/>
        </w:rPr>
        <w:t>当估价程序所受限制对与估价目的相对应的估价结论构成重大影响时，乙方可以中止履行合同；相关限制无法排除时，乙方可以解除合同。</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合同解除后，乙方根据已完成的工作量与甲方协商确定应收取或者退回的评估服务费。</w:t>
      </w:r>
    </w:p>
    <w:p>
      <w:pPr>
        <w:tabs>
          <w:tab w:val="left" w:pos="720"/>
        </w:tabs>
        <w:spacing w:before="62" w:beforeLines="20" w:after="62" w:afterLines="20" w:line="360" w:lineRule="auto"/>
        <w:ind w:firstLine="482" w:firstLineChars="200"/>
        <w:rPr>
          <w:rFonts w:ascii="宋体" w:hAnsi="宋体"/>
          <w:b/>
          <w:sz w:val="24"/>
          <w:szCs w:val="24"/>
        </w:rPr>
      </w:pPr>
    </w:p>
    <w:p>
      <w:pPr>
        <w:tabs>
          <w:tab w:val="left" w:pos="720"/>
        </w:tabs>
        <w:spacing w:before="62" w:beforeLines="20" w:after="62" w:afterLines="20" w:line="360" w:lineRule="auto"/>
        <w:ind w:firstLine="482" w:firstLineChars="200"/>
        <w:rPr>
          <w:rFonts w:ascii="宋体" w:hAnsi="宋体"/>
          <w:b/>
          <w:sz w:val="24"/>
          <w:szCs w:val="24"/>
        </w:rPr>
      </w:pPr>
      <w:r>
        <w:rPr>
          <w:rFonts w:hint="eastAsia" w:ascii="宋体" w:hAnsi="宋体"/>
          <w:b/>
          <w:sz w:val="24"/>
          <w:szCs w:val="24"/>
        </w:rPr>
        <w:t>十六、争议的解决</w:t>
      </w:r>
    </w:p>
    <w:p>
      <w:pPr>
        <w:pStyle w:val="3"/>
        <w:snapToGrid w:val="0"/>
        <w:spacing w:before="62" w:beforeLines="20" w:after="62" w:afterLines="20" w:line="360" w:lineRule="auto"/>
        <w:ind w:firstLine="480" w:firstLineChars="200"/>
        <w:jc w:val="both"/>
        <w:rPr>
          <w:rFonts w:ascii="宋体" w:hAnsi="宋体" w:eastAsia="宋体"/>
          <w:sz w:val="24"/>
          <w:szCs w:val="24"/>
        </w:rPr>
      </w:pPr>
      <w:r>
        <w:rPr>
          <w:rFonts w:ascii="宋体" w:hAnsi="宋体" w:eastAsia="宋体"/>
          <w:sz w:val="24"/>
          <w:szCs w:val="24"/>
        </w:rPr>
        <w:t>凡因本</w:t>
      </w:r>
      <w:r>
        <w:rPr>
          <w:rFonts w:hint="eastAsia" w:ascii="宋体" w:hAnsi="宋体" w:eastAsia="宋体"/>
          <w:sz w:val="24"/>
          <w:szCs w:val="24"/>
        </w:rPr>
        <w:t>合同</w:t>
      </w:r>
      <w:r>
        <w:rPr>
          <w:rFonts w:ascii="宋体" w:hAnsi="宋体" w:eastAsia="宋体"/>
          <w:sz w:val="24"/>
          <w:szCs w:val="24"/>
        </w:rPr>
        <w:t>或与本</w:t>
      </w:r>
      <w:r>
        <w:rPr>
          <w:rFonts w:hint="eastAsia" w:ascii="宋体" w:hAnsi="宋体" w:eastAsia="宋体"/>
          <w:sz w:val="24"/>
          <w:szCs w:val="24"/>
        </w:rPr>
        <w:t>合同</w:t>
      </w:r>
      <w:r>
        <w:rPr>
          <w:rFonts w:ascii="宋体" w:hAnsi="宋体" w:eastAsia="宋体"/>
          <w:sz w:val="24"/>
          <w:szCs w:val="24"/>
        </w:rPr>
        <w:t>有关的一切争议，</w:t>
      </w:r>
      <w:r>
        <w:rPr>
          <w:rFonts w:hint="eastAsia" w:ascii="宋体" w:hAnsi="宋体" w:eastAsia="宋体"/>
          <w:sz w:val="24"/>
          <w:szCs w:val="24"/>
        </w:rPr>
        <w:t>甲、乙双</w:t>
      </w:r>
      <w:r>
        <w:rPr>
          <w:rFonts w:ascii="宋体" w:hAnsi="宋体" w:eastAsia="宋体"/>
          <w:sz w:val="24"/>
          <w:szCs w:val="24"/>
        </w:rPr>
        <w:t>方应友好协商解决</w:t>
      </w:r>
      <w:r>
        <w:rPr>
          <w:rFonts w:hint="eastAsia" w:ascii="宋体" w:hAnsi="宋体" w:eastAsia="宋体"/>
          <w:sz w:val="24"/>
          <w:szCs w:val="24"/>
        </w:rPr>
        <w:t>；</w:t>
      </w:r>
      <w:r>
        <w:rPr>
          <w:rFonts w:ascii="宋体" w:hAnsi="宋体" w:eastAsia="宋体"/>
          <w:sz w:val="24"/>
          <w:szCs w:val="24"/>
        </w:rPr>
        <w:t>协商不成的，</w:t>
      </w:r>
      <w:r>
        <w:rPr>
          <w:rFonts w:ascii="宋体" w:hAnsi="宋体" w:eastAsia="宋体"/>
          <w:color w:val="333333"/>
          <w:sz w:val="24"/>
          <w:szCs w:val="24"/>
        </w:rPr>
        <w:t>任何一方均有权向甲方所在地人民法院提起诉讼。</w:t>
      </w:r>
    </w:p>
    <w:p>
      <w:pPr>
        <w:tabs>
          <w:tab w:val="left" w:pos="720"/>
          <w:tab w:val="left" w:pos="5595"/>
        </w:tabs>
        <w:spacing w:before="62" w:beforeLines="20" w:after="62" w:afterLines="20" w:line="360" w:lineRule="auto"/>
        <w:ind w:firstLine="482" w:firstLineChars="200"/>
        <w:rPr>
          <w:rFonts w:ascii="宋体" w:hAnsi="宋体"/>
          <w:b/>
          <w:sz w:val="24"/>
          <w:szCs w:val="24"/>
        </w:rPr>
      </w:pPr>
    </w:p>
    <w:p>
      <w:pPr>
        <w:tabs>
          <w:tab w:val="left" w:pos="720"/>
          <w:tab w:val="left" w:pos="5595"/>
        </w:tabs>
        <w:spacing w:before="62" w:beforeLines="20" w:after="62" w:afterLines="20" w:line="360" w:lineRule="auto"/>
        <w:ind w:firstLine="482" w:firstLineChars="200"/>
        <w:rPr>
          <w:rFonts w:ascii="宋体" w:hAnsi="宋体"/>
          <w:sz w:val="24"/>
          <w:szCs w:val="24"/>
        </w:rPr>
      </w:pPr>
      <w:r>
        <w:rPr>
          <w:rFonts w:hint="eastAsia" w:ascii="宋体" w:hAnsi="宋体"/>
          <w:b/>
          <w:sz w:val="24"/>
          <w:szCs w:val="24"/>
        </w:rPr>
        <w:t>十七、合同有效期限</w:t>
      </w:r>
      <w:r>
        <w:rPr>
          <w:rFonts w:ascii="宋体" w:hAnsi="宋体"/>
          <w:b/>
          <w:sz w:val="24"/>
          <w:szCs w:val="24"/>
        </w:rPr>
        <w:tab/>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本合同经甲、乙双方签章后生效，约定事项全部完成后终止。</w:t>
      </w:r>
    </w:p>
    <w:p>
      <w:pPr>
        <w:tabs>
          <w:tab w:val="left" w:pos="720"/>
        </w:tabs>
        <w:spacing w:before="62" w:beforeLines="20" w:after="62" w:afterLines="20" w:line="360" w:lineRule="auto"/>
        <w:ind w:firstLine="482" w:firstLineChars="200"/>
        <w:rPr>
          <w:rFonts w:ascii="宋体" w:hAnsi="宋体"/>
          <w:b/>
          <w:sz w:val="24"/>
          <w:szCs w:val="24"/>
        </w:rPr>
      </w:pPr>
    </w:p>
    <w:p>
      <w:pPr>
        <w:tabs>
          <w:tab w:val="left" w:pos="720"/>
        </w:tabs>
        <w:spacing w:before="62" w:beforeLines="20" w:after="62" w:afterLines="20" w:line="360" w:lineRule="auto"/>
        <w:ind w:firstLine="482" w:firstLineChars="200"/>
        <w:rPr>
          <w:rFonts w:ascii="宋体" w:hAnsi="宋体"/>
          <w:sz w:val="24"/>
          <w:szCs w:val="24"/>
          <w:u w:val="single"/>
        </w:rPr>
      </w:pPr>
      <w:r>
        <w:rPr>
          <w:rFonts w:hint="eastAsia" w:ascii="宋体" w:hAnsi="宋体"/>
          <w:b/>
          <w:sz w:val="24"/>
          <w:szCs w:val="24"/>
        </w:rPr>
        <w:t>十八、对其他有关事项的约定</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1．本合同一式</w:t>
      </w:r>
      <w:r>
        <w:rPr>
          <w:rFonts w:hint="eastAsia" w:ascii="宋体" w:hAnsi="宋体"/>
          <w:sz w:val="24"/>
          <w:szCs w:val="24"/>
          <w:u w:val="single"/>
        </w:rPr>
        <w:t xml:space="preserve"> 叁 </w:t>
      </w:r>
      <w:r>
        <w:rPr>
          <w:rFonts w:hint="eastAsia" w:ascii="宋体" w:hAnsi="宋体"/>
          <w:sz w:val="24"/>
          <w:szCs w:val="24"/>
        </w:rPr>
        <w:t>份，甲方持</w:t>
      </w:r>
      <w:r>
        <w:rPr>
          <w:rFonts w:hint="eastAsia" w:ascii="宋体" w:hAnsi="宋体"/>
          <w:sz w:val="24"/>
          <w:szCs w:val="24"/>
          <w:u w:val="single"/>
        </w:rPr>
        <w:t xml:space="preserve"> 贰 </w:t>
      </w:r>
      <w:r>
        <w:rPr>
          <w:rFonts w:hint="eastAsia" w:ascii="宋体" w:hAnsi="宋体"/>
          <w:sz w:val="24"/>
          <w:szCs w:val="24"/>
        </w:rPr>
        <w:t>份，乙方持</w:t>
      </w:r>
      <w:r>
        <w:rPr>
          <w:rFonts w:hint="eastAsia" w:ascii="宋体" w:hAnsi="宋体"/>
          <w:sz w:val="24"/>
          <w:szCs w:val="24"/>
          <w:u w:val="single"/>
        </w:rPr>
        <w:t xml:space="preserve"> 壹 </w:t>
      </w:r>
      <w:r>
        <w:rPr>
          <w:rFonts w:hint="eastAsia" w:ascii="宋体" w:hAnsi="宋体"/>
          <w:sz w:val="24"/>
          <w:szCs w:val="24"/>
        </w:rPr>
        <w:t>份。</w:t>
      </w:r>
    </w:p>
    <w:p>
      <w:pPr>
        <w:tabs>
          <w:tab w:val="left" w:pos="720"/>
        </w:tabs>
        <w:spacing w:before="62" w:beforeLines="20" w:after="62" w:afterLines="20" w:line="360" w:lineRule="auto"/>
        <w:ind w:firstLine="480" w:firstLineChars="200"/>
        <w:rPr>
          <w:rFonts w:ascii="宋体" w:hAnsi="宋体"/>
          <w:sz w:val="24"/>
          <w:szCs w:val="24"/>
        </w:rPr>
      </w:pPr>
      <w:r>
        <w:rPr>
          <w:rFonts w:hint="eastAsia" w:ascii="宋体" w:hAnsi="宋体"/>
          <w:sz w:val="24"/>
          <w:szCs w:val="24"/>
        </w:rPr>
        <w:t>2．未尽事宜，由甲乙双方协商解决。可增订补充合同，补充合同与前所述条款发生冲突时，以补充合同为准。</w:t>
      </w:r>
    </w:p>
    <w:p>
      <w:pPr>
        <w:tabs>
          <w:tab w:val="left" w:pos="720"/>
        </w:tabs>
        <w:spacing w:before="62" w:beforeLines="20" w:after="62" w:afterLines="20" w:line="360" w:lineRule="auto"/>
        <w:ind w:firstLine="480" w:firstLineChars="200"/>
        <w:rPr>
          <w:rFonts w:ascii="宋体" w:hAnsi="宋体"/>
          <w:sz w:val="24"/>
          <w:szCs w:val="24"/>
        </w:rPr>
      </w:pPr>
    </w:p>
    <w:p>
      <w:pPr>
        <w:tabs>
          <w:tab w:val="left" w:pos="720"/>
        </w:tabs>
        <w:spacing w:before="62" w:beforeLines="20" w:after="62" w:afterLines="20" w:line="360" w:lineRule="auto"/>
        <w:ind w:firstLine="482" w:firstLineChars="200"/>
        <w:rPr>
          <w:rFonts w:ascii="宋体" w:hAnsi="宋体"/>
          <w:b/>
          <w:sz w:val="24"/>
          <w:szCs w:val="24"/>
        </w:rPr>
      </w:pPr>
      <w:r>
        <w:rPr>
          <w:rFonts w:hint="eastAsia" w:ascii="宋体" w:hAnsi="宋体"/>
          <w:b/>
          <w:sz w:val="24"/>
          <w:szCs w:val="24"/>
        </w:rPr>
        <w:t>十九、附件</w:t>
      </w:r>
    </w:p>
    <w:p>
      <w:pPr>
        <w:tabs>
          <w:tab w:val="left" w:pos="720"/>
        </w:tabs>
        <w:spacing w:before="62" w:beforeLines="20" w:after="62" w:afterLines="20" w:line="360" w:lineRule="auto"/>
        <w:ind w:firstLine="482" w:firstLineChars="200"/>
        <w:rPr>
          <w:rFonts w:hint="eastAsia" w:ascii="宋体" w:hAnsi="宋体"/>
          <w:b/>
          <w:sz w:val="24"/>
          <w:szCs w:val="24"/>
        </w:rPr>
      </w:pPr>
    </w:p>
    <w:p>
      <w:pPr>
        <w:spacing w:line="480" w:lineRule="auto"/>
        <w:ind w:right="108"/>
        <w:rPr>
          <w:rFonts w:hint="eastAsia"/>
          <w:sz w:val="24"/>
          <w:szCs w:val="24"/>
        </w:rPr>
      </w:pPr>
    </w:p>
    <w:p>
      <w:pPr>
        <w:spacing w:line="480" w:lineRule="auto"/>
        <w:ind w:right="108"/>
        <w:rPr>
          <w:rFonts w:hint="eastAsia"/>
          <w:sz w:val="24"/>
          <w:szCs w:val="24"/>
        </w:rPr>
      </w:pPr>
    </w:p>
    <w:p>
      <w:pPr>
        <w:spacing w:line="480" w:lineRule="auto"/>
        <w:ind w:right="108" w:firstLine="240" w:firstLineChars="100"/>
        <w:rPr>
          <w:rFonts w:hint="eastAsia"/>
          <w:sz w:val="24"/>
          <w:szCs w:val="24"/>
        </w:rPr>
      </w:pPr>
      <w:r>
        <w:rPr>
          <w:rFonts w:hint="eastAsia"/>
          <w:sz w:val="24"/>
          <w:szCs w:val="24"/>
        </w:rPr>
        <w:t>（以下无正文，为合同签署页）</w:t>
      </w:r>
    </w:p>
    <w:p>
      <w:pPr>
        <w:spacing w:line="480" w:lineRule="auto"/>
        <w:ind w:right="108" w:firstLine="493"/>
        <w:rPr>
          <w:rFonts w:hint="eastAsia"/>
          <w:sz w:val="24"/>
          <w:szCs w:val="24"/>
        </w:rPr>
      </w:pPr>
    </w:p>
    <w:p>
      <w:pPr>
        <w:spacing w:line="480" w:lineRule="auto"/>
        <w:ind w:right="108" w:firstLine="493"/>
        <w:rPr>
          <w:sz w:val="24"/>
          <w:szCs w:val="24"/>
        </w:rPr>
      </w:pPr>
      <w:r>
        <w:rPr>
          <w:rFonts w:hint="eastAsia"/>
          <w:sz w:val="24"/>
          <w:szCs w:val="24"/>
        </w:rPr>
        <w:t xml:space="preserve">甲方(盖章) ：                     </w:t>
      </w:r>
    </w:p>
    <w:p>
      <w:pPr>
        <w:spacing w:line="480" w:lineRule="auto"/>
        <w:ind w:right="108" w:firstLine="493"/>
        <w:rPr>
          <w:sz w:val="24"/>
          <w:szCs w:val="24"/>
        </w:rPr>
      </w:pPr>
      <w:r>
        <w:rPr>
          <w:rFonts w:hint="eastAsia"/>
          <w:sz w:val="24"/>
          <w:szCs w:val="24"/>
        </w:rPr>
        <w:t xml:space="preserve">法定代表人或授权代理人(签字) ：   </w:t>
      </w:r>
    </w:p>
    <w:p>
      <w:pPr>
        <w:spacing w:line="480" w:lineRule="auto"/>
        <w:ind w:right="108" w:firstLine="493"/>
        <w:rPr>
          <w:sz w:val="24"/>
          <w:szCs w:val="24"/>
        </w:rPr>
      </w:pPr>
      <w:r>
        <w:rPr>
          <w:rFonts w:hint="eastAsia"/>
          <w:sz w:val="24"/>
          <w:szCs w:val="24"/>
        </w:rPr>
        <w:t xml:space="preserve">联系地址：                      </w:t>
      </w:r>
    </w:p>
    <w:p>
      <w:pPr>
        <w:spacing w:line="480" w:lineRule="auto"/>
        <w:ind w:right="108" w:firstLine="493"/>
        <w:rPr>
          <w:sz w:val="24"/>
          <w:szCs w:val="24"/>
        </w:rPr>
      </w:pPr>
      <w:r>
        <w:rPr>
          <w:rFonts w:hint="eastAsia"/>
          <w:sz w:val="24"/>
          <w:szCs w:val="24"/>
        </w:rPr>
        <w:t xml:space="preserve">电话：                          </w:t>
      </w:r>
    </w:p>
    <w:p>
      <w:pPr>
        <w:spacing w:line="480" w:lineRule="auto"/>
        <w:ind w:right="108" w:firstLine="493"/>
        <w:rPr>
          <w:sz w:val="24"/>
          <w:szCs w:val="24"/>
        </w:rPr>
      </w:pPr>
      <w:r>
        <w:rPr>
          <w:rFonts w:hint="eastAsia"/>
          <w:sz w:val="24"/>
          <w:szCs w:val="24"/>
        </w:rPr>
        <w:t xml:space="preserve">       年   月   日   </w:t>
      </w:r>
    </w:p>
    <w:p>
      <w:pPr>
        <w:spacing w:line="480" w:lineRule="auto"/>
        <w:ind w:right="108" w:firstLine="493"/>
        <w:rPr>
          <w:rFonts w:hint="eastAsia"/>
          <w:sz w:val="24"/>
          <w:szCs w:val="24"/>
        </w:rPr>
      </w:pPr>
    </w:p>
    <w:p>
      <w:pPr>
        <w:spacing w:line="480" w:lineRule="auto"/>
        <w:ind w:right="108" w:firstLine="493"/>
        <w:rPr>
          <w:sz w:val="24"/>
          <w:szCs w:val="24"/>
        </w:rPr>
      </w:pPr>
      <w:r>
        <w:rPr>
          <w:rFonts w:hint="eastAsia"/>
          <w:sz w:val="24"/>
          <w:szCs w:val="24"/>
        </w:rPr>
        <w:t>乙方(盖章) ：</w:t>
      </w:r>
    </w:p>
    <w:p>
      <w:pPr>
        <w:spacing w:line="480" w:lineRule="auto"/>
        <w:ind w:right="108" w:firstLine="493"/>
        <w:rPr>
          <w:sz w:val="24"/>
          <w:szCs w:val="24"/>
        </w:rPr>
      </w:pPr>
      <w:r>
        <w:rPr>
          <w:rFonts w:hint="eastAsia"/>
          <w:sz w:val="24"/>
          <w:szCs w:val="24"/>
        </w:rPr>
        <w:t>法定代表人或授权代理人(签字) ：</w:t>
      </w:r>
    </w:p>
    <w:p>
      <w:pPr>
        <w:spacing w:line="480" w:lineRule="auto"/>
        <w:ind w:right="108" w:firstLine="493"/>
        <w:rPr>
          <w:sz w:val="24"/>
          <w:szCs w:val="24"/>
        </w:rPr>
      </w:pPr>
      <w:r>
        <w:rPr>
          <w:rFonts w:hint="eastAsia"/>
          <w:sz w:val="24"/>
          <w:szCs w:val="24"/>
        </w:rPr>
        <w:t>联系地址：</w:t>
      </w:r>
    </w:p>
    <w:p>
      <w:pPr>
        <w:spacing w:line="480" w:lineRule="auto"/>
        <w:ind w:right="108" w:firstLine="493"/>
        <w:rPr>
          <w:sz w:val="24"/>
          <w:szCs w:val="24"/>
        </w:rPr>
      </w:pPr>
      <w:r>
        <w:rPr>
          <w:rFonts w:hint="eastAsia"/>
          <w:sz w:val="24"/>
          <w:szCs w:val="24"/>
        </w:rPr>
        <w:t>电话：</w:t>
      </w:r>
    </w:p>
    <w:p>
      <w:pPr>
        <w:spacing w:line="480" w:lineRule="auto"/>
        <w:ind w:right="108" w:firstLine="493"/>
        <w:rPr>
          <w:rFonts w:hint="eastAsia"/>
          <w:sz w:val="24"/>
          <w:szCs w:val="24"/>
        </w:rPr>
      </w:pPr>
      <w:r>
        <w:rPr>
          <w:rFonts w:hint="eastAsia"/>
          <w:sz w:val="24"/>
          <w:szCs w:val="24"/>
        </w:rPr>
        <w:t xml:space="preserve">       年   月   日</w:t>
      </w:r>
    </w:p>
    <w:p>
      <w:pPr>
        <w:spacing w:line="480" w:lineRule="auto"/>
        <w:rPr>
          <w:rFonts w:hint="eastAsia"/>
        </w:rPr>
      </w:pPr>
      <w:r>
        <w:rPr>
          <w:rFonts w:hint="eastAsia"/>
        </w:rPr>
        <w:t>附件1：</w:t>
      </w:r>
    </w:p>
    <w:tbl>
      <w:tblPr>
        <w:tblStyle w:val="13"/>
        <w:tblW w:w="0" w:type="auto"/>
        <w:jc w:val="right"/>
        <w:tblLayout w:type="fixed"/>
        <w:tblCellMar>
          <w:top w:w="0" w:type="dxa"/>
          <w:left w:w="108" w:type="dxa"/>
          <w:bottom w:w="0" w:type="dxa"/>
          <w:right w:w="108" w:type="dxa"/>
        </w:tblCellMar>
      </w:tblPr>
      <w:tblGrid>
        <w:gridCol w:w="1281"/>
        <w:gridCol w:w="992"/>
        <w:gridCol w:w="993"/>
        <w:gridCol w:w="850"/>
        <w:gridCol w:w="851"/>
        <w:gridCol w:w="850"/>
        <w:gridCol w:w="1062"/>
        <w:gridCol w:w="1540"/>
      </w:tblGrid>
      <w:tr>
        <w:tblPrEx>
          <w:tblCellMar>
            <w:top w:w="0" w:type="dxa"/>
            <w:left w:w="108" w:type="dxa"/>
            <w:bottom w:w="0" w:type="dxa"/>
            <w:right w:w="108" w:type="dxa"/>
          </w:tblCellMar>
        </w:tblPrEx>
        <w:trPr>
          <w:trHeight w:val="270" w:hRule="atLeast"/>
          <w:jc w:val="right"/>
        </w:trPr>
        <w:tc>
          <w:tcPr>
            <w:tcW w:w="128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rPr>
                <w:rFonts w:ascii="Arial" w:hAnsi="Arial" w:eastAsia="华文细黑" w:cs="Arial"/>
                <w:b/>
                <w:color w:val="000000"/>
                <w:kern w:val="0"/>
                <w:sz w:val="18"/>
                <w:szCs w:val="18"/>
              </w:rPr>
            </w:pPr>
            <w:r>
              <w:rPr>
                <w:rFonts w:ascii="Arial" w:hAnsi="Arial" w:eastAsia="华文细黑" w:cs="Arial"/>
                <w:b/>
                <w:color w:val="000000"/>
                <w:kern w:val="0"/>
                <w:sz w:val="18"/>
                <w:szCs w:val="18"/>
              </w:rPr>
              <w:t>国有土地使用证证号</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华文细黑" w:cs="Arial"/>
                <w:b/>
                <w:color w:val="000000"/>
                <w:kern w:val="0"/>
                <w:sz w:val="18"/>
                <w:szCs w:val="18"/>
              </w:rPr>
            </w:pPr>
            <w:r>
              <w:rPr>
                <w:rFonts w:ascii="Arial" w:hAnsi="Arial" w:eastAsia="华文细黑" w:cs="Arial"/>
                <w:b/>
                <w:color w:val="000000"/>
                <w:kern w:val="0"/>
                <w:sz w:val="18"/>
                <w:szCs w:val="18"/>
              </w:rPr>
              <w:t>土地使用权人</w:t>
            </w:r>
          </w:p>
        </w:tc>
        <w:tc>
          <w:tcPr>
            <w:tcW w:w="993"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华文细黑" w:cs="Arial"/>
                <w:b/>
                <w:color w:val="000000"/>
                <w:kern w:val="0"/>
                <w:sz w:val="18"/>
                <w:szCs w:val="18"/>
              </w:rPr>
            </w:pPr>
            <w:r>
              <w:rPr>
                <w:rFonts w:ascii="Arial" w:hAnsi="Arial" w:eastAsia="华文细黑" w:cs="Arial"/>
                <w:b/>
                <w:color w:val="000000"/>
                <w:kern w:val="0"/>
                <w:sz w:val="18"/>
                <w:szCs w:val="18"/>
              </w:rPr>
              <w:t>坐落</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华文细黑" w:cs="Arial"/>
                <w:b/>
                <w:color w:val="000000"/>
                <w:kern w:val="0"/>
                <w:sz w:val="18"/>
                <w:szCs w:val="18"/>
              </w:rPr>
            </w:pPr>
            <w:r>
              <w:rPr>
                <w:rFonts w:ascii="Arial" w:hAnsi="Arial" w:eastAsia="华文细黑" w:cs="Arial"/>
                <w:b/>
                <w:color w:val="000000"/>
                <w:kern w:val="0"/>
                <w:sz w:val="18"/>
                <w:szCs w:val="18"/>
              </w:rPr>
              <w:t>地号</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华文细黑" w:cs="Arial"/>
                <w:b/>
                <w:color w:val="000000"/>
                <w:kern w:val="0"/>
                <w:sz w:val="18"/>
                <w:szCs w:val="18"/>
              </w:rPr>
            </w:pPr>
            <w:r>
              <w:rPr>
                <w:rFonts w:ascii="Arial" w:hAnsi="Arial" w:eastAsia="华文细黑" w:cs="Arial"/>
                <w:b/>
                <w:color w:val="000000"/>
                <w:kern w:val="0"/>
                <w:sz w:val="18"/>
                <w:szCs w:val="18"/>
              </w:rPr>
              <w:t>地类（用途）</w:t>
            </w:r>
          </w:p>
        </w:tc>
        <w:tc>
          <w:tcPr>
            <w:tcW w:w="85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华文细黑" w:cs="Arial"/>
                <w:b/>
                <w:color w:val="000000"/>
                <w:kern w:val="0"/>
                <w:sz w:val="18"/>
                <w:szCs w:val="18"/>
              </w:rPr>
            </w:pPr>
            <w:r>
              <w:rPr>
                <w:rFonts w:ascii="Arial" w:hAnsi="Arial" w:eastAsia="华文细黑" w:cs="Arial"/>
                <w:b/>
                <w:color w:val="000000"/>
                <w:kern w:val="0"/>
                <w:sz w:val="18"/>
                <w:szCs w:val="18"/>
              </w:rPr>
              <w:t>使用权类型</w:t>
            </w:r>
          </w:p>
        </w:tc>
        <w:tc>
          <w:tcPr>
            <w:tcW w:w="1062"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华文细黑" w:cs="Arial"/>
                <w:b/>
                <w:color w:val="000000"/>
                <w:kern w:val="0"/>
                <w:sz w:val="18"/>
                <w:szCs w:val="18"/>
              </w:rPr>
            </w:pPr>
            <w:r>
              <w:rPr>
                <w:rFonts w:ascii="Arial" w:hAnsi="Arial" w:eastAsia="华文细黑" w:cs="Arial"/>
                <w:b/>
                <w:color w:val="000000"/>
                <w:kern w:val="0"/>
                <w:sz w:val="18"/>
                <w:szCs w:val="18"/>
              </w:rPr>
              <w:t>终止日期</w:t>
            </w:r>
          </w:p>
        </w:tc>
        <w:tc>
          <w:tcPr>
            <w:tcW w:w="1540" w:type="dxa"/>
            <w:tcBorders>
              <w:top w:val="single" w:color="auto" w:sz="4" w:space="0"/>
              <w:left w:val="nil"/>
              <w:bottom w:val="single" w:color="auto" w:sz="4" w:space="0"/>
              <w:right w:val="single" w:color="auto" w:sz="4" w:space="0"/>
            </w:tcBorders>
            <w:shd w:val="clear" w:color="auto" w:fill="auto"/>
            <w:noWrap/>
            <w:vAlign w:val="center"/>
          </w:tcPr>
          <w:p>
            <w:pPr>
              <w:widowControl/>
              <w:rPr>
                <w:rFonts w:ascii="Arial" w:hAnsi="Arial" w:eastAsia="华文细黑" w:cs="Arial"/>
                <w:b/>
                <w:color w:val="000000"/>
                <w:kern w:val="0"/>
                <w:sz w:val="18"/>
                <w:szCs w:val="18"/>
              </w:rPr>
            </w:pPr>
            <w:r>
              <w:rPr>
                <w:rFonts w:ascii="Arial" w:hAnsi="Arial" w:eastAsia="华文细黑" w:cs="Arial"/>
                <w:b/>
                <w:color w:val="000000"/>
                <w:kern w:val="0"/>
                <w:sz w:val="18"/>
                <w:szCs w:val="18"/>
              </w:rPr>
              <w:t>国有建设用地使用权面积（m</w:t>
            </w:r>
            <w:r>
              <w:rPr>
                <w:rFonts w:ascii="Arial" w:hAnsi="Arial" w:eastAsia="华文细黑" w:cs="Arial"/>
                <w:b/>
                <w:color w:val="000000"/>
                <w:kern w:val="0"/>
                <w:sz w:val="18"/>
                <w:szCs w:val="18"/>
                <w:vertAlign w:val="superscript"/>
              </w:rPr>
              <w:t>2</w:t>
            </w:r>
            <w:r>
              <w:rPr>
                <w:rFonts w:ascii="Arial" w:hAnsi="Arial" w:eastAsia="华文细黑" w:cs="Arial"/>
                <w:b/>
                <w:color w:val="000000"/>
                <w:kern w:val="0"/>
                <w:sz w:val="18"/>
                <w:szCs w:val="18"/>
              </w:rPr>
              <w:t>）</w:t>
            </w:r>
          </w:p>
        </w:tc>
      </w:tr>
      <w:tr>
        <w:tblPrEx>
          <w:tblCellMar>
            <w:top w:w="0" w:type="dxa"/>
            <w:left w:w="108" w:type="dxa"/>
            <w:bottom w:w="0" w:type="dxa"/>
            <w:right w:w="108" w:type="dxa"/>
          </w:tblCellMar>
        </w:tblPrEx>
        <w:trPr>
          <w:trHeight w:val="270" w:hRule="atLeast"/>
          <w:jc w:val="right"/>
        </w:trPr>
        <w:tc>
          <w:tcPr>
            <w:tcW w:w="1281" w:type="dxa"/>
            <w:tcBorders>
              <w:top w:val="nil"/>
              <w:left w:val="single" w:color="auto" w:sz="4" w:space="0"/>
              <w:bottom w:val="single" w:color="auto" w:sz="4" w:space="0"/>
              <w:right w:val="single" w:color="auto" w:sz="4" w:space="0"/>
            </w:tcBorders>
            <w:shd w:val="clear" w:color="auto" w:fill="auto"/>
            <w:noWrap/>
            <w:vAlign w:val="center"/>
          </w:tcPr>
          <w:p>
            <w:pPr>
              <w:widowControl/>
              <w:rPr>
                <w:rFonts w:ascii="Arial" w:hAnsi="Arial" w:eastAsia="华文细黑" w:cs="Arial"/>
                <w:color w:val="000000"/>
                <w:kern w:val="0"/>
                <w:sz w:val="18"/>
                <w:szCs w:val="18"/>
              </w:rPr>
            </w:pPr>
            <w:r>
              <w:rPr>
                <w:rFonts w:ascii="Arial" w:hAnsi="Arial" w:eastAsia="华文细黑" w:cs="Arial"/>
                <w:color w:val="000000"/>
                <w:kern w:val="0"/>
                <w:sz w:val="18"/>
                <w:szCs w:val="18"/>
              </w:rPr>
              <w:t>黔筑高新国用（2010）第0101号</w:t>
            </w:r>
          </w:p>
        </w:tc>
        <w:tc>
          <w:tcPr>
            <w:tcW w:w="992" w:type="dxa"/>
            <w:tcBorders>
              <w:top w:val="nil"/>
              <w:left w:val="nil"/>
              <w:bottom w:val="single" w:color="auto" w:sz="4" w:space="0"/>
              <w:right w:val="single" w:color="auto" w:sz="4" w:space="0"/>
            </w:tcBorders>
            <w:shd w:val="clear" w:color="auto" w:fill="auto"/>
            <w:noWrap/>
            <w:vAlign w:val="center"/>
          </w:tcPr>
          <w:p>
            <w:pPr>
              <w:widowControl/>
              <w:rPr>
                <w:rFonts w:ascii="Arial" w:hAnsi="Arial" w:eastAsia="华文细黑" w:cs="Arial"/>
                <w:color w:val="000000"/>
                <w:kern w:val="0"/>
                <w:sz w:val="18"/>
                <w:szCs w:val="18"/>
              </w:rPr>
            </w:pPr>
            <w:r>
              <w:rPr>
                <w:rFonts w:ascii="Arial" w:hAnsi="Arial" w:eastAsia="华文细黑" w:cs="Arial"/>
                <w:color w:val="000000"/>
                <w:kern w:val="0"/>
                <w:sz w:val="18"/>
                <w:szCs w:val="18"/>
              </w:rPr>
              <w:t>贵阳新世界房地产有限公司</w:t>
            </w:r>
          </w:p>
        </w:tc>
        <w:tc>
          <w:tcPr>
            <w:tcW w:w="993" w:type="dxa"/>
            <w:tcBorders>
              <w:top w:val="nil"/>
              <w:left w:val="nil"/>
              <w:bottom w:val="single" w:color="auto" w:sz="4" w:space="0"/>
              <w:right w:val="single" w:color="auto" w:sz="4" w:space="0"/>
            </w:tcBorders>
            <w:shd w:val="clear" w:color="auto" w:fill="auto"/>
            <w:noWrap/>
            <w:vAlign w:val="center"/>
          </w:tcPr>
          <w:p>
            <w:pPr>
              <w:widowControl/>
              <w:rPr>
                <w:rFonts w:ascii="Arial" w:hAnsi="Arial" w:eastAsia="华文细黑" w:cs="Arial"/>
                <w:color w:val="000000"/>
                <w:kern w:val="0"/>
                <w:sz w:val="18"/>
                <w:szCs w:val="18"/>
              </w:rPr>
            </w:pPr>
            <w:r>
              <w:rPr>
                <w:rFonts w:ascii="Arial" w:hAnsi="Arial" w:eastAsia="华文细黑" w:cs="Arial"/>
                <w:color w:val="000000"/>
                <w:kern w:val="0"/>
                <w:sz w:val="18"/>
                <w:szCs w:val="18"/>
              </w:rPr>
              <w:t>金阳新区金朱西路南侧</w:t>
            </w:r>
          </w:p>
        </w:tc>
        <w:tc>
          <w:tcPr>
            <w:tcW w:w="850" w:type="dxa"/>
            <w:tcBorders>
              <w:top w:val="nil"/>
              <w:left w:val="nil"/>
              <w:bottom w:val="single" w:color="auto" w:sz="4" w:space="0"/>
              <w:right w:val="single" w:color="auto" w:sz="4" w:space="0"/>
            </w:tcBorders>
            <w:shd w:val="clear" w:color="auto" w:fill="auto"/>
            <w:noWrap/>
            <w:vAlign w:val="center"/>
          </w:tcPr>
          <w:p>
            <w:pPr>
              <w:widowControl/>
              <w:rPr>
                <w:rFonts w:ascii="Arial" w:hAnsi="Arial" w:eastAsia="华文细黑" w:cs="Arial"/>
                <w:color w:val="000000"/>
                <w:kern w:val="0"/>
                <w:sz w:val="18"/>
                <w:szCs w:val="18"/>
              </w:rPr>
            </w:pPr>
            <w:r>
              <w:rPr>
                <w:rFonts w:ascii="Arial" w:hAnsi="Arial" w:eastAsia="华文细黑" w:cs="Arial"/>
                <w:color w:val="000000"/>
                <w:kern w:val="0"/>
                <w:sz w:val="18"/>
                <w:szCs w:val="18"/>
              </w:rPr>
              <w:t>G-2-14-15-2</w:t>
            </w:r>
          </w:p>
        </w:tc>
        <w:tc>
          <w:tcPr>
            <w:tcW w:w="851" w:type="dxa"/>
            <w:tcBorders>
              <w:top w:val="nil"/>
              <w:left w:val="nil"/>
              <w:bottom w:val="single" w:color="auto" w:sz="4" w:space="0"/>
              <w:right w:val="single" w:color="auto" w:sz="4" w:space="0"/>
            </w:tcBorders>
            <w:shd w:val="clear" w:color="auto" w:fill="auto"/>
            <w:noWrap/>
            <w:vAlign w:val="center"/>
          </w:tcPr>
          <w:p>
            <w:pPr>
              <w:widowControl/>
              <w:rPr>
                <w:rFonts w:ascii="Arial" w:hAnsi="Arial" w:eastAsia="华文细黑" w:cs="Arial"/>
                <w:color w:val="000000"/>
                <w:kern w:val="0"/>
                <w:sz w:val="18"/>
                <w:szCs w:val="18"/>
              </w:rPr>
            </w:pPr>
            <w:r>
              <w:rPr>
                <w:rFonts w:ascii="Arial" w:hAnsi="Arial" w:eastAsia="华文细黑" w:cs="Arial"/>
                <w:color w:val="000000"/>
                <w:kern w:val="0"/>
                <w:sz w:val="18"/>
                <w:szCs w:val="18"/>
              </w:rPr>
              <w:t>商业、办公</w:t>
            </w:r>
          </w:p>
        </w:tc>
        <w:tc>
          <w:tcPr>
            <w:tcW w:w="850" w:type="dxa"/>
            <w:tcBorders>
              <w:top w:val="nil"/>
              <w:left w:val="nil"/>
              <w:bottom w:val="single" w:color="auto" w:sz="4" w:space="0"/>
              <w:right w:val="single" w:color="auto" w:sz="4" w:space="0"/>
            </w:tcBorders>
            <w:shd w:val="clear" w:color="auto" w:fill="auto"/>
            <w:noWrap/>
            <w:vAlign w:val="center"/>
          </w:tcPr>
          <w:p>
            <w:pPr>
              <w:widowControl/>
              <w:rPr>
                <w:rFonts w:ascii="Arial" w:hAnsi="Arial" w:eastAsia="华文细黑" w:cs="Arial"/>
                <w:color w:val="000000"/>
                <w:kern w:val="0"/>
                <w:sz w:val="18"/>
                <w:szCs w:val="18"/>
              </w:rPr>
            </w:pPr>
            <w:r>
              <w:rPr>
                <w:rFonts w:ascii="Arial" w:hAnsi="Arial" w:eastAsia="华文细黑" w:cs="Arial"/>
                <w:color w:val="000000"/>
                <w:kern w:val="0"/>
                <w:sz w:val="18"/>
                <w:szCs w:val="18"/>
              </w:rPr>
              <w:t>出让</w:t>
            </w:r>
          </w:p>
        </w:tc>
        <w:tc>
          <w:tcPr>
            <w:tcW w:w="1062" w:type="dxa"/>
            <w:tcBorders>
              <w:top w:val="nil"/>
              <w:left w:val="nil"/>
              <w:bottom w:val="single" w:color="auto" w:sz="4" w:space="0"/>
              <w:right w:val="single" w:color="auto" w:sz="4" w:space="0"/>
            </w:tcBorders>
            <w:shd w:val="clear" w:color="auto" w:fill="auto"/>
            <w:noWrap/>
            <w:vAlign w:val="center"/>
          </w:tcPr>
          <w:p>
            <w:pPr>
              <w:widowControl/>
              <w:rPr>
                <w:rFonts w:ascii="Arial" w:hAnsi="Arial" w:eastAsia="华文细黑" w:cs="Arial"/>
                <w:color w:val="000000"/>
                <w:kern w:val="0"/>
                <w:sz w:val="18"/>
                <w:szCs w:val="18"/>
              </w:rPr>
            </w:pPr>
            <w:r>
              <w:rPr>
                <w:rFonts w:ascii="Arial" w:hAnsi="Arial" w:eastAsia="华文细黑" w:cs="Arial"/>
                <w:color w:val="000000"/>
                <w:kern w:val="0"/>
                <w:sz w:val="18"/>
                <w:szCs w:val="18"/>
              </w:rPr>
              <w:t>2057.7.11</w:t>
            </w:r>
          </w:p>
        </w:tc>
        <w:tc>
          <w:tcPr>
            <w:tcW w:w="1540" w:type="dxa"/>
            <w:tcBorders>
              <w:top w:val="nil"/>
              <w:left w:val="nil"/>
              <w:bottom w:val="single" w:color="auto" w:sz="4" w:space="0"/>
              <w:right w:val="single" w:color="auto" w:sz="4" w:space="0"/>
            </w:tcBorders>
            <w:shd w:val="clear" w:color="auto" w:fill="auto"/>
            <w:noWrap/>
            <w:vAlign w:val="center"/>
          </w:tcPr>
          <w:p>
            <w:pPr>
              <w:widowControl/>
              <w:rPr>
                <w:rFonts w:ascii="Arial" w:hAnsi="Arial" w:eastAsia="华文细黑" w:cs="Arial"/>
                <w:color w:val="000000"/>
                <w:kern w:val="0"/>
                <w:sz w:val="18"/>
                <w:szCs w:val="18"/>
              </w:rPr>
            </w:pPr>
            <w:r>
              <w:rPr>
                <w:rFonts w:ascii="Arial" w:hAnsi="Arial" w:eastAsia="华文细黑" w:cs="Arial"/>
                <w:color w:val="000000"/>
                <w:kern w:val="0"/>
                <w:sz w:val="18"/>
                <w:szCs w:val="18"/>
              </w:rPr>
              <w:t>110836.2</w:t>
            </w:r>
          </w:p>
        </w:tc>
      </w:tr>
    </w:tbl>
    <w:p>
      <w:pPr>
        <w:spacing w:line="480" w:lineRule="auto"/>
        <w:ind w:right="108" w:firstLine="493"/>
        <w:rPr>
          <w:rFonts w:hint="eastAsia"/>
          <w:sz w:val="24"/>
          <w:szCs w:val="24"/>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00004FF" w:usb2="00000000" w:usb3="00000000" w:csb0="2000019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7</w:t>
    </w:r>
    <w:r>
      <w:rPr>
        <w:b/>
        <w:sz w:val="24"/>
        <w:szCs w:val="24"/>
      </w:rPr>
      <w:fldChar w:fldCharType="end"/>
    </w:r>
  </w:p>
  <w:p>
    <w:pPr>
      <w:pStyle w:val="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89E7A04"/>
    <w:multiLevelType w:val="singleLevel"/>
    <w:tmpl w:val="F89E7A04"/>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revisionView w:markup="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70D8"/>
    <w:rsid w:val="000366A2"/>
    <w:rsid w:val="00057AFC"/>
    <w:rsid w:val="00086710"/>
    <w:rsid w:val="0009219B"/>
    <w:rsid w:val="00116144"/>
    <w:rsid w:val="00140CA2"/>
    <w:rsid w:val="001570D8"/>
    <w:rsid w:val="00176CD6"/>
    <w:rsid w:val="00187FB7"/>
    <w:rsid w:val="001E3C50"/>
    <w:rsid w:val="002C3AA4"/>
    <w:rsid w:val="002E52E4"/>
    <w:rsid w:val="002F2D3E"/>
    <w:rsid w:val="003478B3"/>
    <w:rsid w:val="003543A6"/>
    <w:rsid w:val="00393456"/>
    <w:rsid w:val="003C3D51"/>
    <w:rsid w:val="003C4C14"/>
    <w:rsid w:val="003F2A53"/>
    <w:rsid w:val="003F6929"/>
    <w:rsid w:val="004049F9"/>
    <w:rsid w:val="00424644"/>
    <w:rsid w:val="00427355"/>
    <w:rsid w:val="00460EAE"/>
    <w:rsid w:val="00464648"/>
    <w:rsid w:val="00520F93"/>
    <w:rsid w:val="005272D4"/>
    <w:rsid w:val="00540F9F"/>
    <w:rsid w:val="00543A6A"/>
    <w:rsid w:val="00555B04"/>
    <w:rsid w:val="00594DD6"/>
    <w:rsid w:val="005B6011"/>
    <w:rsid w:val="00665EDC"/>
    <w:rsid w:val="00701AEE"/>
    <w:rsid w:val="00713001"/>
    <w:rsid w:val="007623D7"/>
    <w:rsid w:val="007A2139"/>
    <w:rsid w:val="007D0891"/>
    <w:rsid w:val="007D2EC2"/>
    <w:rsid w:val="007F6C9B"/>
    <w:rsid w:val="008213A9"/>
    <w:rsid w:val="0084111D"/>
    <w:rsid w:val="00867BB2"/>
    <w:rsid w:val="008832E8"/>
    <w:rsid w:val="008D3878"/>
    <w:rsid w:val="008D4FDE"/>
    <w:rsid w:val="008E11D1"/>
    <w:rsid w:val="009117F5"/>
    <w:rsid w:val="00912416"/>
    <w:rsid w:val="00925C1A"/>
    <w:rsid w:val="00930D57"/>
    <w:rsid w:val="0093106D"/>
    <w:rsid w:val="009437F0"/>
    <w:rsid w:val="0096333A"/>
    <w:rsid w:val="0097385A"/>
    <w:rsid w:val="009A751B"/>
    <w:rsid w:val="00A22AF2"/>
    <w:rsid w:val="00A7312D"/>
    <w:rsid w:val="00AC2180"/>
    <w:rsid w:val="00B15062"/>
    <w:rsid w:val="00B55B32"/>
    <w:rsid w:val="00BA23FE"/>
    <w:rsid w:val="00BC6F2F"/>
    <w:rsid w:val="00BF223E"/>
    <w:rsid w:val="00C21946"/>
    <w:rsid w:val="00C4371D"/>
    <w:rsid w:val="00C66E1C"/>
    <w:rsid w:val="00C84E2D"/>
    <w:rsid w:val="00CB09B2"/>
    <w:rsid w:val="00D23FE5"/>
    <w:rsid w:val="00D64F94"/>
    <w:rsid w:val="00D95494"/>
    <w:rsid w:val="00DB7A4D"/>
    <w:rsid w:val="00DD1200"/>
    <w:rsid w:val="00E12B75"/>
    <w:rsid w:val="00EB48DF"/>
    <w:rsid w:val="00EB69BC"/>
    <w:rsid w:val="00EB7388"/>
    <w:rsid w:val="00F24AC2"/>
    <w:rsid w:val="00F262A9"/>
    <w:rsid w:val="00F33BC5"/>
    <w:rsid w:val="00F51651"/>
    <w:rsid w:val="00FC4782"/>
    <w:rsid w:val="00FD0271"/>
    <w:rsid w:val="07AD7458"/>
    <w:rsid w:val="09E25BBB"/>
    <w:rsid w:val="0A37775B"/>
    <w:rsid w:val="1816082C"/>
    <w:rsid w:val="217D2A7B"/>
    <w:rsid w:val="28EC5F10"/>
    <w:rsid w:val="44A117D0"/>
    <w:rsid w:val="4A8C4D10"/>
    <w:rsid w:val="5FCF1B8E"/>
    <w:rsid w:val="600C4CD0"/>
    <w:rsid w:val="69293A97"/>
    <w:rsid w:val="75456E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0"/>
    <w:qFormat/>
    <w:uiPriority w:val="9"/>
    <w:pPr>
      <w:keepNext/>
      <w:keepLines/>
      <w:widowControl/>
      <w:spacing w:before="340" w:after="330" w:line="578" w:lineRule="auto"/>
      <w:ind w:right="50" w:rightChars="50" w:firstLine="236" w:firstLineChars="236"/>
      <w:outlineLvl w:val="0"/>
    </w:pPr>
    <w:rPr>
      <w:rFonts w:ascii="Calibri" w:hAnsi="Calibri"/>
      <w:b/>
      <w:bCs/>
      <w:kern w:val="44"/>
      <w:sz w:val="44"/>
      <w:szCs w:val="44"/>
    </w:rPr>
  </w:style>
  <w:style w:type="character" w:default="1" w:styleId="14">
    <w:name w:val="Default Paragraph Font"/>
    <w:unhideWhenUsed/>
    <w:qFormat/>
    <w:uiPriority w:val="1"/>
  </w:style>
  <w:style w:type="table" w:default="1" w:styleId="13">
    <w:name w:val="Normal Table"/>
    <w:unhideWhenUsed/>
    <w:qFormat/>
    <w:uiPriority w:val="99"/>
    <w:tblPr>
      <w:tblCellMar>
        <w:top w:w="0" w:type="dxa"/>
        <w:left w:w="108" w:type="dxa"/>
        <w:bottom w:w="0" w:type="dxa"/>
        <w:right w:w="108" w:type="dxa"/>
      </w:tblCellMar>
    </w:tblPr>
  </w:style>
  <w:style w:type="paragraph" w:styleId="3">
    <w:name w:val="annotation text"/>
    <w:basedOn w:val="1"/>
    <w:link w:val="19"/>
    <w:unhideWhenUsed/>
    <w:qFormat/>
    <w:uiPriority w:val="0"/>
    <w:pPr>
      <w:jc w:val="left"/>
    </w:pPr>
    <w:rPr>
      <w:rFonts w:eastAsia="仿宋_GB2312"/>
      <w:sz w:val="30"/>
      <w:szCs w:val="30"/>
    </w:rPr>
  </w:style>
  <w:style w:type="paragraph" w:styleId="4">
    <w:name w:val="Body Text"/>
    <w:basedOn w:val="1"/>
    <w:link w:val="18"/>
    <w:qFormat/>
    <w:uiPriority w:val="0"/>
    <w:pPr>
      <w:spacing w:before="120" w:after="120" w:line="400" w:lineRule="exact"/>
    </w:pPr>
    <w:rPr>
      <w:rFonts w:eastAsia="仿宋_GB2312"/>
      <w:sz w:val="24"/>
    </w:rPr>
  </w:style>
  <w:style w:type="paragraph" w:styleId="5">
    <w:name w:val="Body Text Indent"/>
    <w:basedOn w:val="1"/>
    <w:link w:val="23"/>
    <w:qFormat/>
    <w:uiPriority w:val="0"/>
    <w:pPr>
      <w:tabs>
        <w:tab w:val="left" w:pos="720"/>
      </w:tabs>
      <w:spacing w:before="120" w:after="120" w:line="400" w:lineRule="exact"/>
      <w:ind w:left="360"/>
    </w:pPr>
    <w:rPr>
      <w:rFonts w:eastAsia="仿宋_GB2312"/>
      <w:sz w:val="24"/>
    </w:rPr>
  </w:style>
  <w:style w:type="paragraph" w:styleId="6">
    <w:name w:val="toc 3"/>
    <w:basedOn w:val="1"/>
    <w:next w:val="1"/>
    <w:unhideWhenUsed/>
    <w:qFormat/>
    <w:uiPriority w:val="39"/>
    <w:pPr>
      <w:widowControl/>
      <w:spacing w:after="100" w:line="276" w:lineRule="auto"/>
      <w:ind w:left="440"/>
      <w:jc w:val="left"/>
    </w:pPr>
    <w:rPr>
      <w:rFonts w:ascii="Calibri" w:hAnsi="Calibri"/>
      <w:kern w:val="0"/>
      <w:sz w:val="22"/>
      <w:szCs w:val="22"/>
    </w:rPr>
  </w:style>
  <w:style w:type="paragraph" w:styleId="7">
    <w:name w:val="Balloon Text"/>
    <w:basedOn w:val="1"/>
    <w:link w:val="22"/>
    <w:unhideWhenUsed/>
    <w:qFormat/>
    <w:uiPriority w:val="99"/>
    <w:rPr>
      <w:sz w:val="18"/>
      <w:szCs w:val="18"/>
    </w:rPr>
  </w:style>
  <w:style w:type="paragraph" w:styleId="8">
    <w:name w:val="footer"/>
    <w:basedOn w:val="1"/>
    <w:link w:val="24"/>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unhideWhenUsed/>
    <w:qFormat/>
    <w:uiPriority w:val="39"/>
    <w:pPr>
      <w:widowControl/>
      <w:spacing w:after="100" w:line="276" w:lineRule="auto"/>
      <w:jc w:val="left"/>
    </w:pPr>
    <w:rPr>
      <w:rFonts w:ascii="Calibri" w:hAnsi="Calibri"/>
      <w:kern w:val="0"/>
      <w:sz w:val="22"/>
      <w:szCs w:val="22"/>
    </w:rPr>
  </w:style>
  <w:style w:type="paragraph" w:styleId="11">
    <w:name w:val="toc 2"/>
    <w:basedOn w:val="1"/>
    <w:next w:val="1"/>
    <w:unhideWhenUsed/>
    <w:qFormat/>
    <w:uiPriority w:val="39"/>
    <w:pPr>
      <w:widowControl/>
      <w:spacing w:after="100" w:line="276" w:lineRule="auto"/>
      <w:ind w:left="220"/>
      <w:jc w:val="left"/>
    </w:pPr>
    <w:rPr>
      <w:rFonts w:ascii="Calibri" w:hAnsi="Calibri"/>
      <w:kern w:val="0"/>
      <w:sz w:val="22"/>
      <w:szCs w:val="22"/>
    </w:rPr>
  </w:style>
  <w:style w:type="paragraph" w:styleId="12">
    <w:name w:val="Body Text 2"/>
    <w:basedOn w:val="1"/>
    <w:link w:val="21"/>
    <w:qFormat/>
    <w:uiPriority w:val="0"/>
    <w:pPr>
      <w:spacing w:before="120" w:after="120" w:line="400" w:lineRule="exact"/>
    </w:pPr>
    <w:rPr>
      <w:rFonts w:ascii="宋体" w:hAnsi="宋体"/>
      <w:b/>
      <w:bCs/>
      <w:sz w:val="24"/>
    </w:rPr>
  </w:style>
  <w:style w:type="character" w:styleId="15">
    <w:name w:val="FollowedHyperlink"/>
    <w:basedOn w:val="14"/>
    <w:unhideWhenUsed/>
    <w:qFormat/>
    <w:uiPriority w:val="99"/>
    <w:rPr>
      <w:color w:val="003048"/>
      <w:u w:val="single"/>
    </w:rPr>
  </w:style>
  <w:style w:type="character" w:styleId="16">
    <w:name w:val="Hyperlink"/>
    <w:basedOn w:val="14"/>
    <w:unhideWhenUsed/>
    <w:qFormat/>
    <w:uiPriority w:val="99"/>
    <w:rPr>
      <w:color w:val="003048"/>
      <w:u w:val="single"/>
    </w:rPr>
  </w:style>
  <w:style w:type="character" w:customStyle="1" w:styleId="17">
    <w:name w:val="页眉 Char"/>
    <w:link w:val="9"/>
    <w:qFormat/>
    <w:uiPriority w:val="99"/>
    <w:rPr>
      <w:rFonts w:ascii="Times New Roman" w:hAnsi="Times New Roman" w:eastAsia="宋体" w:cs="Times New Roman"/>
      <w:sz w:val="18"/>
      <w:szCs w:val="18"/>
    </w:rPr>
  </w:style>
  <w:style w:type="character" w:customStyle="1" w:styleId="18">
    <w:name w:val="正文文本 Char"/>
    <w:link w:val="4"/>
    <w:qFormat/>
    <w:uiPriority w:val="0"/>
    <w:rPr>
      <w:rFonts w:ascii="Times New Roman" w:hAnsi="Times New Roman" w:eastAsia="仿宋_GB2312" w:cs="Times New Roman"/>
      <w:sz w:val="24"/>
      <w:szCs w:val="20"/>
    </w:rPr>
  </w:style>
  <w:style w:type="character" w:customStyle="1" w:styleId="19">
    <w:name w:val="批注文字 Char"/>
    <w:link w:val="3"/>
    <w:semiHidden/>
    <w:qFormat/>
    <w:uiPriority w:val="0"/>
    <w:rPr>
      <w:rFonts w:ascii="Times New Roman" w:hAnsi="Times New Roman" w:eastAsia="仿宋_GB2312" w:cs="Times New Roman"/>
      <w:sz w:val="30"/>
      <w:szCs w:val="30"/>
    </w:rPr>
  </w:style>
  <w:style w:type="character" w:customStyle="1" w:styleId="20">
    <w:name w:val="标题 1 Char"/>
    <w:link w:val="2"/>
    <w:qFormat/>
    <w:uiPriority w:val="9"/>
    <w:rPr>
      <w:b/>
      <w:bCs/>
      <w:kern w:val="44"/>
      <w:sz w:val="44"/>
      <w:szCs w:val="44"/>
    </w:rPr>
  </w:style>
  <w:style w:type="character" w:customStyle="1" w:styleId="21">
    <w:name w:val="正文文本 2 Char"/>
    <w:link w:val="12"/>
    <w:qFormat/>
    <w:uiPriority w:val="0"/>
    <w:rPr>
      <w:rFonts w:ascii="宋体" w:hAnsi="宋体" w:eastAsia="宋体" w:cs="Times New Roman"/>
      <w:b/>
      <w:bCs/>
      <w:sz w:val="24"/>
      <w:szCs w:val="20"/>
    </w:rPr>
  </w:style>
  <w:style w:type="character" w:customStyle="1" w:styleId="22">
    <w:name w:val="批注框文本 Char"/>
    <w:link w:val="7"/>
    <w:semiHidden/>
    <w:qFormat/>
    <w:uiPriority w:val="99"/>
    <w:rPr>
      <w:rFonts w:ascii="Times New Roman" w:hAnsi="Times New Roman"/>
      <w:kern w:val="2"/>
      <w:sz w:val="18"/>
      <w:szCs w:val="18"/>
    </w:rPr>
  </w:style>
  <w:style w:type="character" w:customStyle="1" w:styleId="23">
    <w:name w:val="正文文本缩进 Char"/>
    <w:link w:val="5"/>
    <w:qFormat/>
    <w:uiPriority w:val="0"/>
    <w:rPr>
      <w:rFonts w:ascii="Times New Roman" w:hAnsi="Times New Roman" w:eastAsia="仿宋_GB2312" w:cs="Times New Roman"/>
      <w:sz w:val="24"/>
      <w:szCs w:val="20"/>
    </w:rPr>
  </w:style>
  <w:style w:type="character" w:customStyle="1" w:styleId="24">
    <w:name w:val="页脚 Char"/>
    <w:link w:val="8"/>
    <w:qFormat/>
    <w:uiPriority w:val="99"/>
    <w:rPr>
      <w:rFonts w:ascii="Times New Roman" w:hAnsi="Times New Roman" w:eastAsia="宋体" w:cs="Times New Roman"/>
      <w:sz w:val="18"/>
      <w:szCs w:val="18"/>
    </w:rPr>
  </w:style>
  <w:style w:type="paragraph" w:styleId="25">
    <w:name w:val="List Paragraph"/>
    <w:basedOn w:val="1"/>
    <w:qFormat/>
    <w:uiPriority w:val="34"/>
    <w:pPr>
      <w:widowControl/>
      <w:ind w:right="50" w:rightChars="50" w:firstLine="420" w:firstLineChars="200"/>
    </w:pPr>
    <w:rPr>
      <w:rFonts w:ascii="Calibri" w:hAnsi="Calibri"/>
      <w:szCs w:val="22"/>
    </w:rPr>
  </w:style>
  <w:style w:type="paragraph" w:customStyle="1" w:styleId="26">
    <w:name w:val="TOC Heading"/>
    <w:basedOn w:val="2"/>
    <w:next w:val="1"/>
    <w:qFormat/>
    <w:uiPriority w:val="39"/>
    <w:pPr>
      <w:spacing w:before="480" w:after="0" w:line="276" w:lineRule="auto"/>
      <w:ind w:right="0" w:rightChars="0" w:firstLine="0" w:firstLineChars="0"/>
      <w:jc w:val="left"/>
      <w:outlineLvl w:val="9"/>
    </w:pPr>
    <w:rPr>
      <w:rFonts w:ascii="Cambria" w:hAnsi="Cambria"/>
      <w:color w:val="365F91"/>
      <w:kern w:val="0"/>
      <w:sz w:val="28"/>
      <w:szCs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658</Words>
  <Characters>3751</Characters>
  <Lines>31</Lines>
  <Paragraphs>8</Paragraphs>
  <TotalTime>28</TotalTime>
  <ScaleCrop>false</ScaleCrop>
  <LinksUpToDate>false</LinksUpToDate>
  <CharactersWithSpaces>4401</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2020-06-18T11:05:00Z</dcterms:created>
  <dc:creator>topvaluer</dc:creator>
  <cp:lastModifiedBy>路</cp:lastModifiedBy>
  <cp:lastPrinted>2016-12-07T02:30:00Z</cp:lastPrinted>
  <dcterms:modified xsi:type="dcterms:W3CDTF">2020-06-22T01:34:45Z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